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5860E1">
        <w:rPr>
          <w:rFonts w:ascii="Times New Roman" w:hAnsi="Times New Roman"/>
          <w:sz w:val="24"/>
        </w:rPr>
        <w:t>89</w:t>
      </w:r>
      <w:r w:rsidR="008A27AC">
        <w:rPr>
          <w:rFonts w:ascii="Times New Roman" w:hAnsi="Times New Roman"/>
          <w:sz w:val="24"/>
        </w:rPr>
        <w:tab/>
        <w:t>R4-1815885</w:t>
      </w:r>
      <w:bookmarkStart w:id="0" w:name="_GoBack"/>
      <w:bookmarkEnd w:id="0"/>
    </w:p>
    <w:p w:rsidR="005813AA" w:rsidRPr="00552689" w:rsidRDefault="005860E1" w:rsidP="005813AA">
      <w:pPr>
        <w:pStyle w:val="Header"/>
        <w:rPr>
          <w:rFonts w:ascii="Times New Roman" w:hAnsi="Times New Roman"/>
          <w:sz w:val="24"/>
          <w:lang w:val="en-US"/>
        </w:rPr>
      </w:pPr>
      <w:r>
        <w:rPr>
          <w:rFonts w:ascii="Times New Roman" w:hAnsi="Times New Roman"/>
          <w:sz w:val="24"/>
          <w:lang w:val="en-US"/>
        </w:rPr>
        <w:t>Spokane</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12</w:t>
      </w:r>
      <w:r w:rsidR="002B1082">
        <w:rPr>
          <w:rFonts w:ascii="Times New Roman" w:hAnsi="Times New Roman"/>
          <w:sz w:val="24"/>
          <w:lang w:val="en-US"/>
        </w:rPr>
        <w:t>-1</w:t>
      </w:r>
      <w:r>
        <w:rPr>
          <w:rFonts w:ascii="Times New Roman" w:hAnsi="Times New Roman"/>
          <w:sz w:val="24"/>
          <w:lang w:val="en-US"/>
        </w:rPr>
        <w:t>6</w:t>
      </w:r>
      <w:r w:rsidR="002B1082">
        <w:rPr>
          <w:rFonts w:ascii="Times New Roman" w:hAnsi="Times New Roman"/>
          <w:sz w:val="24"/>
          <w:lang w:val="en-US"/>
        </w:rPr>
        <w:t xml:space="preserve"> </w:t>
      </w:r>
      <w:r>
        <w:rPr>
          <w:rFonts w:ascii="Times New Roman" w:hAnsi="Times New Roman"/>
          <w:sz w:val="24"/>
          <w:lang w:val="en-US"/>
        </w:rPr>
        <w:t>November</w:t>
      </w:r>
      <w:r w:rsidR="005813AA">
        <w:rPr>
          <w:rFonts w:ascii="Times New Roman" w:hAnsi="Times New Roman"/>
          <w:sz w:val="24"/>
          <w:lang w:val="en-US"/>
        </w:rPr>
        <w:t>, 2018</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A56F76">
        <w:rPr>
          <w:rFonts w:ascii="Arial" w:hAnsi="Arial" w:cs="Arial"/>
          <w:sz w:val="24"/>
          <w:lang w:val="en-US" w:eastAsia="zh-CN"/>
        </w:rPr>
        <w:t>DRX requirements for RRM in EN-DC</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090A51" w:rsidRPr="00090A51">
        <w:rPr>
          <w:rFonts w:ascii="Arial" w:hAnsi="Arial" w:cs="Arial"/>
          <w:sz w:val="24"/>
          <w:lang w:val="en-US" w:eastAsia="zh-CN"/>
        </w:rPr>
        <w:t>7.11.3.2.5</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2B1082" w:rsidRDefault="00A56F76" w:rsidP="002B1082">
      <w:r>
        <w:t>In RAN4#88bis, the latest way forward on EN-DC DRX RRM requirements</w:t>
      </w:r>
      <w:r>
        <w:fldChar w:fldCharType="begin"/>
      </w:r>
      <w:r>
        <w:instrText xml:space="preserve"> REF _Ref527549691 \r \h </w:instrText>
      </w:r>
      <w:r>
        <w:fldChar w:fldCharType="separate"/>
      </w:r>
      <w:r>
        <w:t>[1]</w:t>
      </w:r>
      <w:r>
        <w:fldChar w:fldCharType="end"/>
      </w:r>
      <w:r>
        <w:t xml:space="preserve">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A56F76" w:rsidTr="00CF4B0A">
        <w:tc>
          <w:tcPr>
            <w:tcW w:w="10763" w:type="dxa"/>
            <w:shd w:val="clear" w:color="auto" w:fill="auto"/>
          </w:tcPr>
          <w:p w:rsidR="00A56F76" w:rsidRPr="00CF4B0A" w:rsidRDefault="00A56F76" w:rsidP="00A56F76">
            <w:pPr>
              <w:rPr>
                <w:b/>
              </w:rPr>
            </w:pPr>
            <w:r w:rsidRPr="00CF4B0A">
              <w:rPr>
                <w:b/>
              </w:rPr>
              <w:t>Background</w:t>
            </w:r>
          </w:p>
          <w:p w:rsidR="00CF4B0A" w:rsidRPr="00A56F76" w:rsidRDefault="00CF4B0A" w:rsidP="00CF4B0A">
            <w:pPr>
              <w:numPr>
                <w:ilvl w:val="0"/>
                <w:numId w:val="25"/>
              </w:numPr>
            </w:pPr>
            <w:r w:rsidRPr="00CF4B0A">
              <w:rPr>
                <w:lang w:val="en-US"/>
              </w:rPr>
              <w:t>MN and SN can configure DRX mode to MCG and SCG separately for NR DC case such as LTE DC case.</w:t>
            </w:r>
          </w:p>
          <w:p w:rsidR="00CF4B0A" w:rsidRPr="001E40B5" w:rsidRDefault="00CF4B0A" w:rsidP="00CF4B0A">
            <w:pPr>
              <w:numPr>
                <w:ilvl w:val="1"/>
                <w:numId w:val="25"/>
              </w:numPr>
            </w:pPr>
            <w:r w:rsidRPr="00CF4B0A">
              <w:rPr>
                <w:lang w:val="en-US"/>
              </w:rPr>
              <w:t>Following cases can be considered.</w:t>
            </w:r>
          </w:p>
          <w:p w:rsidR="001E40B5" w:rsidRPr="00A56F76" w:rsidRDefault="00AD3AD3" w:rsidP="00CF4B0A">
            <w:pPr>
              <w:numPr>
                <w:ilvl w:val="1"/>
                <w:numId w:val="25"/>
              </w:num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59.5pt;mso-position-horizontal-relative:char;mso-position-vertical-relative:line">
                  <v:imagedata r:id="rId13" o:title=""/>
                </v:shape>
              </w:pict>
            </w:r>
          </w:p>
          <w:p w:rsidR="00CF4B0A" w:rsidRPr="00A56F76" w:rsidRDefault="00CF4B0A" w:rsidP="00CF4B0A">
            <w:pPr>
              <w:numPr>
                <w:ilvl w:val="0"/>
                <w:numId w:val="25"/>
              </w:numPr>
            </w:pPr>
            <w:r w:rsidRPr="00CF4B0A">
              <w:rPr>
                <w:lang w:val="en-US"/>
              </w:rPr>
              <w:t>RAN4 needs to define the principle of measurement requirements for case B, C, D.</w:t>
            </w:r>
          </w:p>
          <w:p w:rsidR="00CF4B0A" w:rsidRPr="00A56F76" w:rsidRDefault="00CF4B0A" w:rsidP="00CF4B0A">
            <w:pPr>
              <w:numPr>
                <w:ilvl w:val="1"/>
                <w:numId w:val="25"/>
              </w:numPr>
            </w:pPr>
            <w:r w:rsidRPr="00CF4B0A">
              <w:rPr>
                <w:lang w:val="en-US"/>
              </w:rPr>
              <w:t>Focusing on EN-DC case.</w:t>
            </w:r>
          </w:p>
          <w:p w:rsidR="00CF4B0A" w:rsidRPr="00A56F76" w:rsidRDefault="00CF4B0A" w:rsidP="00CF4B0A">
            <w:pPr>
              <w:numPr>
                <w:ilvl w:val="1"/>
                <w:numId w:val="25"/>
              </w:numPr>
            </w:pPr>
            <w:r w:rsidRPr="00CF4B0A">
              <w:rPr>
                <w:lang w:val="en-US"/>
              </w:rPr>
              <w:t>NE-DC and NR-NR DC will be discussed later.</w:t>
            </w:r>
          </w:p>
          <w:p w:rsidR="00A56F76" w:rsidRPr="00CF4B0A" w:rsidRDefault="00A56F76" w:rsidP="002B1082">
            <w:pPr>
              <w:rPr>
                <w:b/>
              </w:rPr>
            </w:pPr>
            <w:r w:rsidRPr="00CF4B0A">
              <w:rPr>
                <w:b/>
              </w:rPr>
              <w:t>Way forward</w:t>
            </w:r>
          </w:p>
          <w:p w:rsidR="00CF4B0A" w:rsidRPr="00A56F76" w:rsidRDefault="00CF4B0A" w:rsidP="00CF4B0A">
            <w:pPr>
              <w:numPr>
                <w:ilvl w:val="0"/>
                <w:numId w:val="25"/>
              </w:numPr>
            </w:pPr>
            <w:r w:rsidRPr="00CF4B0A">
              <w:rPr>
                <w:lang w:val="en-US"/>
              </w:rPr>
              <w:t>In RAN4#88bis, companies have different views on this issue.</w:t>
            </w:r>
          </w:p>
          <w:p w:rsidR="00CF4B0A" w:rsidRPr="00A56F76" w:rsidRDefault="00CF4B0A" w:rsidP="00CF4B0A">
            <w:pPr>
              <w:numPr>
                <w:ilvl w:val="0"/>
                <w:numId w:val="25"/>
              </w:numPr>
            </w:pPr>
            <w:r w:rsidRPr="00CF4B0A">
              <w:rPr>
                <w:lang w:val="en-US"/>
              </w:rPr>
              <w:t>For RAN4#89, companies encourage to input on how to define the principle.</w:t>
            </w:r>
          </w:p>
          <w:p w:rsidR="00CF4B0A" w:rsidRPr="00A56F76" w:rsidRDefault="00CF4B0A" w:rsidP="00CF4B0A">
            <w:pPr>
              <w:numPr>
                <w:ilvl w:val="0"/>
                <w:numId w:val="25"/>
              </w:numPr>
            </w:pPr>
            <w:r w:rsidRPr="00CF4B0A">
              <w:rPr>
                <w:lang w:val="en-US"/>
              </w:rPr>
              <w:t>Some options proposed in RAN4#88bis are provided from next slide. Investigate of other options are not precluded.</w:t>
            </w:r>
          </w:p>
          <w:p w:rsidR="00CF4B0A" w:rsidRPr="00A56F76" w:rsidRDefault="00CF4B0A" w:rsidP="00CF4B0A">
            <w:pPr>
              <w:numPr>
                <w:ilvl w:val="0"/>
                <w:numId w:val="25"/>
              </w:numPr>
            </w:pPr>
            <w:r w:rsidRPr="00CF4B0A">
              <w:rPr>
                <w:lang w:val="en-US"/>
              </w:rPr>
              <w:t xml:space="preserve">In case of EN-DC,  </w:t>
            </w:r>
          </w:p>
          <w:p w:rsidR="00CF4B0A" w:rsidRPr="00A56F76" w:rsidRDefault="00CF4B0A" w:rsidP="00CF4B0A">
            <w:pPr>
              <w:numPr>
                <w:ilvl w:val="1"/>
                <w:numId w:val="25"/>
              </w:numPr>
            </w:pPr>
            <w:r w:rsidRPr="00CF4B0A">
              <w:rPr>
                <w:lang w:val="en-US"/>
              </w:rPr>
              <w:t>For intra-frequency measurement requirements in DRX mode on LTE PCell or LTE SCells in MCG,</w:t>
            </w:r>
          </w:p>
          <w:p w:rsidR="00CF4B0A" w:rsidRPr="00A56F76" w:rsidRDefault="00CF4B0A" w:rsidP="00CF4B0A">
            <w:pPr>
              <w:numPr>
                <w:ilvl w:val="2"/>
                <w:numId w:val="25"/>
              </w:numPr>
            </w:pPr>
            <w:r w:rsidRPr="00CF4B0A">
              <w:rPr>
                <w:lang w:val="en-US"/>
              </w:rPr>
              <w:t xml:space="preserve">If MCG DRX is in use, then the LTE intra-frequency requirements for when DRX is in use shall apply and shall depend on the MCG DRX cycle duration. </w:t>
            </w:r>
          </w:p>
          <w:p w:rsidR="00CF4B0A" w:rsidRPr="00A56F76" w:rsidRDefault="00CF4B0A" w:rsidP="00CF4B0A">
            <w:pPr>
              <w:numPr>
                <w:ilvl w:val="2"/>
                <w:numId w:val="25"/>
              </w:numPr>
            </w:pPr>
            <w:r w:rsidRPr="00CF4B0A">
              <w:rPr>
                <w:lang w:val="en-US"/>
              </w:rPr>
              <w:t>Otherwise, the requirements for when DRX is not in use shall apply.</w:t>
            </w:r>
          </w:p>
          <w:p w:rsidR="00CF4B0A" w:rsidRPr="00A56F76" w:rsidRDefault="00CF4B0A" w:rsidP="00CF4B0A">
            <w:pPr>
              <w:numPr>
                <w:ilvl w:val="1"/>
                <w:numId w:val="25"/>
              </w:numPr>
            </w:pPr>
            <w:r w:rsidRPr="00CF4B0A">
              <w:rPr>
                <w:lang w:val="en-US"/>
              </w:rPr>
              <w:t>For intra-frequency measurement requirements in DRX mode on NR PSCell or NR SCells in SCG,</w:t>
            </w:r>
          </w:p>
          <w:p w:rsidR="00CF4B0A" w:rsidRPr="00A56F76" w:rsidRDefault="00CF4B0A" w:rsidP="00CF4B0A">
            <w:pPr>
              <w:numPr>
                <w:ilvl w:val="2"/>
                <w:numId w:val="25"/>
              </w:numPr>
            </w:pPr>
            <w:r w:rsidRPr="00CF4B0A">
              <w:rPr>
                <w:lang w:val="en-US"/>
              </w:rPr>
              <w:t xml:space="preserve">If SCG DRX is in use, then the NR intra-frequency requirements for when DRX is in use shall apply </w:t>
            </w:r>
            <w:r w:rsidRPr="00CF4B0A">
              <w:rPr>
                <w:lang w:val="en-US"/>
              </w:rPr>
              <w:lastRenderedPageBreak/>
              <w:t xml:space="preserve">and shall depend on the SCG DRX cycle duration. </w:t>
            </w:r>
          </w:p>
          <w:p w:rsidR="00CF4B0A" w:rsidRPr="00A56F76" w:rsidRDefault="00CF4B0A" w:rsidP="00CF4B0A">
            <w:pPr>
              <w:numPr>
                <w:ilvl w:val="2"/>
                <w:numId w:val="25"/>
              </w:numPr>
            </w:pPr>
            <w:r w:rsidRPr="00CF4B0A">
              <w:rPr>
                <w:lang w:val="en-US"/>
              </w:rPr>
              <w:t>Otherwise, the requirements for when DRX is not in use shall apply.</w:t>
            </w:r>
          </w:p>
          <w:p w:rsidR="00CF4B0A" w:rsidRPr="00A56F76" w:rsidRDefault="00CF4B0A" w:rsidP="00CF4B0A">
            <w:pPr>
              <w:numPr>
                <w:ilvl w:val="1"/>
                <w:numId w:val="25"/>
              </w:numPr>
            </w:pPr>
            <w:r w:rsidRPr="00CF4B0A">
              <w:rPr>
                <w:lang w:val="en-US"/>
              </w:rPr>
              <w:t xml:space="preserve">For RLM and BFD in DRX mode, </w:t>
            </w:r>
          </w:p>
          <w:p w:rsidR="00CF4B0A" w:rsidRPr="00A56F76" w:rsidRDefault="00CF4B0A" w:rsidP="00CF4B0A">
            <w:pPr>
              <w:numPr>
                <w:ilvl w:val="2"/>
                <w:numId w:val="25"/>
              </w:numPr>
            </w:pPr>
            <w:r w:rsidRPr="00CF4B0A">
              <w:rPr>
                <w:lang w:val="en-US"/>
              </w:rPr>
              <w:t>UE follows the same principle as above.</w:t>
            </w:r>
          </w:p>
          <w:p w:rsidR="00CF4B0A" w:rsidRPr="00A56F76" w:rsidRDefault="00CF4B0A" w:rsidP="00CF4B0A">
            <w:pPr>
              <w:numPr>
                <w:ilvl w:val="0"/>
                <w:numId w:val="25"/>
              </w:numPr>
            </w:pPr>
            <w:r w:rsidRPr="00CF4B0A">
              <w:rPr>
                <w:lang w:val="en-US"/>
              </w:rPr>
              <w:t>When both MCG and SCG DRX are in use and different value of DRX cycle is configured between MCG and SCG</w:t>
            </w:r>
          </w:p>
          <w:p w:rsidR="00CF4B0A" w:rsidRPr="00A56F76" w:rsidRDefault="00CF4B0A" w:rsidP="00CF4B0A">
            <w:pPr>
              <w:numPr>
                <w:ilvl w:val="1"/>
                <w:numId w:val="25"/>
              </w:numPr>
            </w:pPr>
            <w:r w:rsidRPr="00CF4B0A">
              <w:rPr>
                <w:lang w:val="en-US"/>
              </w:rPr>
              <w:t>If MCG DRX cycle and SCG DRX cycle ≥40ms,</w:t>
            </w:r>
          </w:p>
          <w:p w:rsidR="00CF4B0A" w:rsidRPr="00A56F76" w:rsidRDefault="00CF4B0A" w:rsidP="00CF4B0A">
            <w:pPr>
              <w:numPr>
                <w:ilvl w:val="2"/>
                <w:numId w:val="25"/>
              </w:numPr>
            </w:pPr>
            <w:r w:rsidRPr="00CF4B0A">
              <w:rPr>
                <w:lang w:val="en-US"/>
              </w:rPr>
              <w:t>Option1: Measurement requirements apply larger value of DRX cycle.</w:t>
            </w:r>
          </w:p>
          <w:p w:rsidR="00CF4B0A" w:rsidRPr="00A56F76" w:rsidRDefault="00CF4B0A" w:rsidP="00CF4B0A">
            <w:pPr>
              <w:numPr>
                <w:ilvl w:val="3"/>
                <w:numId w:val="25"/>
              </w:numPr>
            </w:pPr>
            <w:r w:rsidRPr="00CF4B0A">
              <w:rPr>
                <w:lang w:val="en-US"/>
              </w:rPr>
              <w:t>Both intra and inter frequency measurements apply above.</w:t>
            </w:r>
          </w:p>
          <w:p w:rsidR="00CF4B0A" w:rsidRPr="00A56F76" w:rsidRDefault="00CF4B0A" w:rsidP="00CF4B0A">
            <w:pPr>
              <w:numPr>
                <w:ilvl w:val="2"/>
                <w:numId w:val="25"/>
              </w:numPr>
            </w:pPr>
            <w:r w:rsidRPr="00CF4B0A">
              <w:rPr>
                <w:lang w:val="en-US"/>
              </w:rPr>
              <w:t>Option2:Measurement requirements apply shorter value of DRX cycle.</w:t>
            </w:r>
          </w:p>
          <w:p w:rsidR="00CF4B0A" w:rsidRPr="00A56F76" w:rsidRDefault="00CF4B0A" w:rsidP="00CF4B0A">
            <w:pPr>
              <w:numPr>
                <w:ilvl w:val="3"/>
                <w:numId w:val="25"/>
              </w:numPr>
            </w:pPr>
            <w:r w:rsidRPr="00CF4B0A">
              <w:rPr>
                <w:lang w:val="en-US"/>
              </w:rPr>
              <w:t xml:space="preserve">Both intra and inter frequency measurements apply above. </w:t>
            </w:r>
          </w:p>
          <w:p w:rsidR="00CF4B0A" w:rsidRPr="00A56F76" w:rsidRDefault="00CF4B0A" w:rsidP="00CF4B0A">
            <w:pPr>
              <w:numPr>
                <w:ilvl w:val="0"/>
                <w:numId w:val="25"/>
              </w:numPr>
            </w:pPr>
            <w:r w:rsidRPr="00CF4B0A">
              <w:rPr>
                <w:lang w:val="en-US"/>
              </w:rPr>
              <w:t>When both MCG and SCG DRX are in use and different value of DRX cycle is configured between MCG and SCG</w:t>
            </w:r>
          </w:p>
          <w:p w:rsidR="00CF4B0A" w:rsidRPr="00A56F76" w:rsidRDefault="00CF4B0A" w:rsidP="00CF4B0A">
            <w:pPr>
              <w:numPr>
                <w:ilvl w:val="1"/>
                <w:numId w:val="25"/>
              </w:numPr>
            </w:pPr>
            <w:r w:rsidRPr="00A56F76">
              <w:t xml:space="preserve">If </w:t>
            </w:r>
            <w:r w:rsidRPr="00CF4B0A">
              <w:rPr>
                <w:lang w:val="en-US"/>
              </w:rPr>
              <w:t>MCG DRX cycle or SCG DRX cycle &lt;40ms,</w:t>
            </w:r>
          </w:p>
          <w:p w:rsidR="00CF4B0A" w:rsidRPr="00A56F76" w:rsidRDefault="00CF4B0A" w:rsidP="00CF4B0A">
            <w:pPr>
              <w:numPr>
                <w:ilvl w:val="2"/>
                <w:numId w:val="25"/>
              </w:numPr>
            </w:pPr>
            <w:r w:rsidRPr="00CF4B0A">
              <w:rPr>
                <w:lang w:val="en-US"/>
              </w:rPr>
              <w:t xml:space="preserve">Option1: </w:t>
            </w:r>
          </w:p>
          <w:p w:rsidR="00CF4B0A" w:rsidRPr="00A56F76" w:rsidRDefault="00CF4B0A" w:rsidP="00CF4B0A">
            <w:pPr>
              <w:numPr>
                <w:ilvl w:val="3"/>
                <w:numId w:val="25"/>
              </w:numPr>
            </w:pPr>
            <w:r w:rsidRPr="00CF4B0A">
              <w:rPr>
                <w:lang w:val="en-US"/>
              </w:rPr>
              <w:t>LTE inter-frequency and NR inter-RAT requirements shall follow MGC DRX cycle duration and state.</w:t>
            </w:r>
          </w:p>
          <w:p w:rsidR="00CF4B0A" w:rsidRPr="00A56F76" w:rsidRDefault="00CF4B0A" w:rsidP="00CF4B0A">
            <w:pPr>
              <w:numPr>
                <w:ilvl w:val="3"/>
                <w:numId w:val="25"/>
              </w:numPr>
            </w:pPr>
            <w:r w:rsidRPr="00CF4B0A">
              <w:rPr>
                <w:lang w:val="en-US"/>
              </w:rPr>
              <w:t>NR inter-frequency requirements shall follow SGC DRX cycle duration and state..</w:t>
            </w:r>
          </w:p>
          <w:p w:rsidR="00CF4B0A" w:rsidRPr="00A56F76" w:rsidRDefault="00CF4B0A" w:rsidP="00CF4B0A">
            <w:pPr>
              <w:numPr>
                <w:ilvl w:val="2"/>
                <w:numId w:val="25"/>
              </w:numPr>
            </w:pPr>
            <w:r w:rsidRPr="00CF4B0A">
              <w:rPr>
                <w:lang w:val="en-US"/>
              </w:rPr>
              <w:t xml:space="preserve">Option2: </w:t>
            </w:r>
          </w:p>
          <w:p w:rsidR="00CF4B0A" w:rsidRPr="00A56F76" w:rsidRDefault="00CF4B0A" w:rsidP="00CF4B0A">
            <w:pPr>
              <w:numPr>
                <w:ilvl w:val="3"/>
                <w:numId w:val="25"/>
              </w:numPr>
            </w:pPr>
            <w:r w:rsidRPr="00CF4B0A">
              <w:rPr>
                <w:lang w:val="en-US"/>
              </w:rPr>
              <w:t>LTE inter-frequency requirements shall follow MGC DRX cycle duration and state</w:t>
            </w:r>
          </w:p>
          <w:p w:rsidR="00CF4B0A" w:rsidRPr="00A56F76" w:rsidRDefault="00CF4B0A" w:rsidP="00CF4B0A">
            <w:pPr>
              <w:numPr>
                <w:ilvl w:val="3"/>
                <w:numId w:val="25"/>
              </w:numPr>
            </w:pPr>
            <w:r w:rsidRPr="00CF4B0A">
              <w:rPr>
                <w:lang w:val="en-US"/>
              </w:rPr>
              <w:t>NR inter-RAT requirements shall follow larger value of DRX cycle configured between MCG and SCG.</w:t>
            </w:r>
          </w:p>
          <w:p w:rsidR="00CF4B0A" w:rsidRPr="00A56F76" w:rsidRDefault="00CF4B0A" w:rsidP="00CF4B0A">
            <w:pPr>
              <w:numPr>
                <w:ilvl w:val="3"/>
                <w:numId w:val="25"/>
              </w:numPr>
            </w:pPr>
            <w:r w:rsidRPr="00CF4B0A">
              <w:rPr>
                <w:lang w:val="en-US"/>
              </w:rPr>
              <w:t>NR inter-frequency requirements shall follow SGC DRX cycle duration and state.</w:t>
            </w:r>
          </w:p>
          <w:p w:rsidR="00CF4B0A" w:rsidRPr="00A56F76" w:rsidRDefault="00CF4B0A" w:rsidP="00CF4B0A">
            <w:pPr>
              <w:numPr>
                <w:ilvl w:val="2"/>
                <w:numId w:val="25"/>
              </w:numPr>
            </w:pPr>
            <w:r w:rsidRPr="00CF4B0A">
              <w:rPr>
                <w:lang w:val="en-US"/>
              </w:rPr>
              <w:t xml:space="preserve">Option3: </w:t>
            </w:r>
          </w:p>
          <w:p w:rsidR="00CF4B0A" w:rsidRPr="00A56F76" w:rsidRDefault="00CF4B0A" w:rsidP="00CF4B0A">
            <w:pPr>
              <w:numPr>
                <w:ilvl w:val="3"/>
                <w:numId w:val="25"/>
              </w:numPr>
            </w:pPr>
            <w:r w:rsidRPr="00CF4B0A">
              <w:rPr>
                <w:lang w:val="en-US"/>
              </w:rPr>
              <w:t>LTE inter-frequency requirements shall follow MGC DRX cycle duration and state.</w:t>
            </w:r>
          </w:p>
          <w:p w:rsidR="00CF4B0A" w:rsidRPr="00A56F76" w:rsidRDefault="00CF4B0A" w:rsidP="00CF4B0A">
            <w:pPr>
              <w:numPr>
                <w:ilvl w:val="3"/>
                <w:numId w:val="25"/>
              </w:numPr>
            </w:pPr>
            <w:r w:rsidRPr="00CF4B0A">
              <w:rPr>
                <w:lang w:val="en-US"/>
              </w:rPr>
              <w:t>NR inter-RAT requirements shall follow SCG DRX cycle duration and state.</w:t>
            </w:r>
          </w:p>
          <w:p w:rsidR="00A56F76" w:rsidRPr="00CF4B0A" w:rsidRDefault="00A56F76" w:rsidP="00A56F76">
            <w:pPr>
              <w:rPr>
                <w:lang w:val="en-US"/>
              </w:rPr>
            </w:pPr>
            <w:r w:rsidRPr="00CF4B0A">
              <w:rPr>
                <w:lang w:val="en-US"/>
              </w:rPr>
              <w:t>NR inter-frequency requirements shall follow SGC DRX cycle duration and state.</w:t>
            </w:r>
          </w:p>
          <w:p w:rsidR="00CF4B0A" w:rsidRPr="00A56F76" w:rsidRDefault="00CF4B0A" w:rsidP="00CF4B0A">
            <w:pPr>
              <w:numPr>
                <w:ilvl w:val="0"/>
                <w:numId w:val="29"/>
              </w:numPr>
            </w:pPr>
            <w:r w:rsidRPr="00CF4B0A">
              <w:rPr>
                <w:lang w:val="en-US"/>
              </w:rPr>
              <w:t>If MCG or SCG are in non-DRX,</w:t>
            </w:r>
          </w:p>
          <w:p w:rsidR="00CF4B0A" w:rsidRPr="00A56F76" w:rsidRDefault="00CF4B0A" w:rsidP="00CF4B0A">
            <w:pPr>
              <w:numPr>
                <w:ilvl w:val="2"/>
                <w:numId w:val="29"/>
              </w:numPr>
            </w:pPr>
            <w:r w:rsidRPr="00CF4B0A">
              <w:rPr>
                <w:lang w:val="en-US"/>
              </w:rPr>
              <w:t xml:space="preserve">Option1: </w:t>
            </w:r>
          </w:p>
          <w:p w:rsidR="00CF4B0A" w:rsidRPr="00A56F76" w:rsidRDefault="00CF4B0A" w:rsidP="00CF4B0A">
            <w:pPr>
              <w:numPr>
                <w:ilvl w:val="3"/>
                <w:numId w:val="29"/>
              </w:numPr>
            </w:pPr>
            <w:r w:rsidRPr="00CF4B0A">
              <w:rPr>
                <w:lang w:val="en-US"/>
              </w:rPr>
              <w:t>LTE inter-frequency and NR inter-RAT requirements shall follow MGC DRX cycle duration and state.</w:t>
            </w:r>
          </w:p>
          <w:p w:rsidR="00CF4B0A" w:rsidRPr="00A56F76" w:rsidRDefault="00CF4B0A" w:rsidP="00CF4B0A">
            <w:pPr>
              <w:numPr>
                <w:ilvl w:val="3"/>
                <w:numId w:val="29"/>
              </w:numPr>
            </w:pPr>
            <w:r w:rsidRPr="00CF4B0A">
              <w:rPr>
                <w:lang w:val="en-US"/>
              </w:rPr>
              <w:t>NR inter-frequency requirements shall follow SGC DRX cycle duration and state..</w:t>
            </w:r>
          </w:p>
          <w:p w:rsidR="00CF4B0A" w:rsidRPr="00A56F76" w:rsidRDefault="00CF4B0A" w:rsidP="00CF4B0A">
            <w:pPr>
              <w:numPr>
                <w:ilvl w:val="2"/>
                <w:numId w:val="29"/>
              </w:numPr>
            </w:pPr>
            <w:r w:rsidRPr="00CF4B0A">
              <w:rPr>
                <w:lang w:val="en-US"/>
              </w:rPr>
              <w:t xml:space="preserve">Option2: </w:t>
            </w:r>
          </w:p>
          <w:p w:rsidR="00CF4B0A" w:rsidRPr="00A56F76" w:rsidRDefault="00CF4B0A" w:rsidP="00CF4B0A">
            <w:pPr>
              <w:numPr>
                <w:ilvl w:val="3"/>
                <w:numId w:val="29"/>
              </w:numPr>
            </w:pPr>
            <w:r w:rsidRPr="00CF4B0A">
              <w:rPr>
                <w:lang w:val="en-US"/>
              </w:rPr>
              <w:t>LTE inter-frequency requirements shall follow MGC DRX cycle duration and state</w:t>
            </w:r>
          </w:p>
          <w:p w:rsidR="00CF4B0A" w:rsidRPr="00A56F76" w:rsidRDefault="00CF4B0A" w:rsidP="00CF4B0A">
            <w:pPr>
              <w:numPr>
                <w:ilvl w:val="3"/>
                <w:numId w:val="29"/>
              </w:numPr>
            </w:pPr>
            <w:r w:rsidRPr="00CF4B0A">
              <w:rPr>
                <w:lang w:val="en-US"/>
              </w:rPr>
              <w:t>NR inter-RAT requirements shall follow larger value of DRX cycle configured between MCG and SCG.</w:t>
            </w:r>
          </w:p>
          <w:p w:rsidR="00CF4B0A" w:rsidRPr="00A56F76" w:rsidRDefault="00CF4B0A" w:rsidP="00CF4B0A">
            <w:pPr>
              <w:numPr>
                <w:ilvl w:val="3"/>
                <w:numId w:val="29"/>
              </w:numPr>
            </w:pPr>
            <w:r w:rsidRPr="00CF4B0A">
              <w:rPr>
                <w:lang w:val="en-US"/>
              </w:rPr>
              <w:t>NR inter-frequency requirements shall follow SGC DRX cycle duration and state.</w:t>
            </w:r>
          </w:p>
          <w:p w:rsidR="00CF4B0A" w:rsidRPr="00A56F76" w:rsidRDefault="00CF4B0A" w:rsidP="00CF4B0A">
            <w:pPr>
              <w:numPr>
                <w:ilvl w:val="2"/>
                <w:numId w:val="29"/>
              </w:numPr>
            </w:pPr>
            <w:r w:rsidRPr="00CF4B0A">
              <w:rPr>
                <w:lang w:val="en-US"/>
              </w:rPr>
              <w:t xml:space="preserve">Option3: </w:t>
            </w:r>
          </w:p>
          <w:p w:rsidR="00CF4B0A" w:rsidRPr="00A56F76" w:rsidRDefault="00CF4B0A" w:rsidP="00CF4B0A">
            <w:pPr>
              <w:numPr>
                <w:ilvl w:val="3"/>
                <w:numId w:val="29"/>
              </w:numPr>
            </w:pPr>
            <w:r w:rsidRPr="00CF4B0A">
              <w:rPr>
                <w:lang w:val="en-US"/>
              </w:rPr>
              <w:lastRenderedPageBreak/>
              <w:t>LTE inter-frequency requirements shall follow MGC DRX cycle duration and state.</w:t>
            </w:r>
          </w:p>
          <w:p w:rsidR="00CF4B0A" w:rsidRPr="00A56F76" w:rsidRDefault="00CF4B0A" w:rsidP="00CF4B0A">
            <w:pPr>
              <w:numPr>
                <w:ilvl w:val="3"/>
                <w:numId w:val="29"/>
              </w:numPr>
            </w:pPr>
            <w:r w:rsidRPr="00CF4B0A">
              <w:rPr>
                <w:lang w:val="en-US"/>
              </w:rPr>
              <w:t>NR inter-RAT requirements shall follow SCG DRX cycle duration and state.</w:t>
            </w:r>
          </w:p>
          <w:p w:rsidR="00CF4B0A" w:rsidRPr="00A56F76" w:rsidRDefault="00CF4B0A" w:rsidP="00CF4B0A">
            <w:pPr>
              <w:numPr>
                <w:ilvl w:val="3"/>
                <w:numId w:val="29"/>
              </w:numPr>
            </w:pPr>
            <w:r w:rsidRPr="00CF4B0A">
              <w:rPr>
                <w:lang w:val="en-US"/>
              </w:rPr>
              <w:t>NR inter-frequency requirements shall follow SGC DRX cycle duration and state.</w:t>
            </w:r>
          </w:p>
          <w:p w:rsidR="00A56F76" w:rsidRPr="00CF4B0A" w:rsidRDefault="00A56F76" w:rsidP="00A56F76">
            <w:pPr>
              <w:rPr>
                <w:b/>
              </w:rPr>
            </w:pPr>
          </w:p>
        </w:tc>
      </w:tr>
    </w:tbl>
    <w:p w:rsidR="00A56F76" w:rsidRPr="002B1082" w:rsidRDefault="00A56F76" w:rsidP="002B1082"/>
    <w:p w:rsidR="005813AA" w:rsidRDefault="005813AA" w:rsidP="005813AA">
      <w:pPr>
        <w:pStyle w:val="Heading1"/>
        <w:jc w:val="both"/>
        <w:rPr>
          <w:rFonts w:eastAsia="SimSun"/>
          <w:lang w:val="en-US" w:eastAsia="zh-CN"/>
        </w:rPr>
      </w:pPr>
      <w:r>
        <w:rPr>
          <w:rFonts w:eastAsia="SimSun"/>
          <w:lang w:val="en-US" w:eastAsia="zh-CN"/>
        </w:rPr>
        <w:t>Discussion</w:t>
      </w:r>
    </w:p>
    <w:p w:rsidR="000166E6" w:rsidRDefault="000166E6" w:rsidP="002B1082">
      <w:pPr>
        <w:rPr>
          <w:lang w:val="en-US" w:eastAsia="zh-CN"/>
        </w:rPr>
      </w:pPr>
      <w:r>
        <w:rPr>
          <w:lang w:val="en-US" w:eastAsia="zh-CN"/>
        </w:rPr>
        <w:t>As agreed in the way forward, we focus on EN-DC and do not discuss late drop NE-DC or NR-DC which will be discussed later.</w:t>
      </w:r>
    </w:p>
    <w:p w:rsidR="002B1082" w:rsidRDefault="00A56F76" w:rsidP="002B1082">
      <w:pPr>
        <w:rPr>
          <w:lang w:val="en-US" w:eastAsia="zh-CN"/>
        </w:rPr>
      </w:pPr>
      <w:r>
        <w:rPr>
          <w:lang w:val="en-US" w:eastAsia="zh-CN"/>
        </w:rPr>
        <w:t xml:space="preserve">The discussion is applicable for EN-DC, when the LTE PCell configures the MCG DRX cycle, and the NR PSCell configures the SCG DRX cycle. These cycles are used for PDCCH monitoring purposes and determine when the UE </w:t>
      </w:r>
      <w:r w:rsidR="00090A51">
        <w:rPr>
          <w:lang w:val="en-US" w:eastAsia="zh-CN"/>
        </w:rPr>
        <w:t>must</w:t>
      </w:r>
      <w:r>
        <w:rPr>
          <w:lang w:val="en-US" w:eastAsia="zh-CN"/>
        </w:rPr>
        <w:t xml:space="preserve"> monitor PDCCH for LTE and PDCCH for NR respectively.</w:t>
      </w:r>
      <w:r w:rsidR="001E40B5">
        <w:rPr>
          <w:lang w:val="en-US" w:eastAsia="zh-CN"/>
        </w:rPr>
        <w:t xml:space="preserve"> Since the UE must be able to receive the RX on part of both the MCG and SCG DRX cycles, it follows that if the DRX cycles are misaligned or having different durations, power saving opportunities will be reduced for the UE regardless of how RRM requirements are specified.</w:t>
      </w:r>
    </w:p>
    <w:p w:rsidR="001E40B5" w:rsidRDefault="001E40B5" w:rsidP="002B1082">
      <w:pPr>
        <w:rPr>
          <w:u w:val="single"/>
          <w:lang w:val="en-US" w:eastAsia="zh-CN"/>
        </w:rPr>
      </w:pPr>
      <w:r w:rsidRPr="001E40B5">
        <w:rPr>
          <w:u w:val="single"/>
          <w:lang w:val="en-US" w:eastAsia="zh-CN"/>
        </w:rPr>
        <w:t>Intrafrequency requirements</w:t>
      </w:r>
    </w:p>
    <w:p w:rsidR="001E40B5" w:rsidRPr="001E40B5" w:rsidRDefault="001E40B5" w:rsidP="002B1082">
      <w:pPr>
        <w:rPr>
          <w:lang w:val="en-US" w:eastAsia="zh-CN"/>
        </w:rPr>
      </w:pPr>
      <w:r w:rsidRPr="001E40B5">
        <w:rPr>
          <w:lang w:val="en-US" w:eastAsia="zh-CN"/>
        </w:rPr>
        <w:t>Firstly</w:t>
      </w:r>
      <w:r>
        <w:rPr>
          <w:lang w:val="en-US" w:eastAsia="zh-CN"/>
        </w:rPr>
        <w:t>, we think it is reasonable intra-frequency to follow the DRX state and requirements for the re</w:t>
      </w:r>
      <w:r w:rsidR="00090A51">
        <w:rPr>
          <w:lang w:val="en-US" w:eastAsia="zh-CN"/>
        </w:rPr>
        <w:t>levant cell group</w:t>
      </w:r>
    </w:p>
    <w:p w:rsidR="001E40B5" w:rsidRPr="00A56F76" w:rsidRDefault="001E40B5" w:rsidP="001E40B5">
      <w:pPr>
        <w:numPr>
          <w:ilvl w:val="1"/>
          <w:numId w:val="25"/>
        </w:numPr>
      </w:pPr>
      <w:r w:rsidRPr="00A56F76">
        <w:rPr>
          <w:lang w:val="en-US"/>
        </w:rPr>
        <w:t>For intra-frequency measurement requirements in DRX mode on LTE PCell or LTE SCells in MCG,</w:t>
      </w:r>
    </w:p>
    <w:p w:rsidR="001E40B5" w:rsidRPr="00A56F76" w:rsidRDefault="001E40B5" w:rsidP="001E40B5">
      <w:pPr>
        <w:numPr>
          <w:ilvl w:val="2"/>
          <w:numId w:val="25"/>
        </w:numPr>
      </w:pPr>
      <w:r w:rsidRPr="00A56F76">
        <w:rPr>
          <w:lang w:val="en-US"/>
        </w:rPr>
        <w:t xml:space="preserve">If MCG DRX is in use, then the LTE intra-frequency requirements for when DRX is in use shall apply and shall depend on the MCG DRX cycle duration. </w:t>
      </w:r>
    </w:p>
    <w:p w:rsidR="001E40B5" w:rsidRPr="00A56F76" w:rsidRDefault="001E40B5" w:rsidP="001E40B5">
      <w:pPr>
        <w:numPr>
          <w:ilvl w:val="2"/>
          <w:numId w:val="25"/>
        </w:numPr>
      </w:pPr>
      <w:r w:rsidRPr="00A56F76">
        <w:rPr>
          <w:lang w:val="en-US"/>
        </w:rPr>
        <w:t>Otherwise, the requirements for when DRX is not in use shall apply.</w:t>
      </w:r>
    </w:p>
    <w:p w:rsidR="001E40B5" w:rsidRPr="00A56F76" w:rsidRDefault="001E40B5" w:rsidP="001E40B5">
      <w:pPr>
        <w:numPr>
          <w:ilvl w:val="1"/>
          <w:numId w:val="25"/>
        </w:numPr>
      </w:pPr>
      <w:r w:rsidRPr="00A56F76">
        <w:rPr>
          <w:lang w:val="en-US"/>
        </w:rPr>
        <w:t>For intra-frequency measurement requirements in DRX mode on NR PSCell or NR SCells in SCG,</w:t>
      </w:r>
    </w:p>
    <w:p w:rsidR="001E40B5" w:rsidRPr="00A56F76" w:rsidRDefault="001E40B5" w:rsidP="001E40B5">
      <w:pPr>
        <w:numPr>
          <w:ilvl w:val="2"/>
          <w:numId w:val="25"/>
        </w:numPr>
      </w:pPr>
      <w:r w:rsidRPr="00A56F76">
        <w:rPr>
          <w:lang w:val="en-US"/>
        </w:rPr>
        <w:t xml:space="preserve">If SCG DRX is in use, then the NR intra-frequency requirements for when DRX is in use shall apply and shall depend on the SCG DRX cycle duration. </w:t>
      </w:r>
    </w:p>
    <w:p w:rsidR="001E40B5" w:rsidRPr="00A56F76" w:rsidRDefault="001E40B5" w:rsidP="001E40B5">
      <w:pPr>
        <w:numPr>
          <w:ilvl w:val="2"/>
          <w:numId w:val="25"/>
        </w:numPr>
      </w:pPr>
      <w:r w:rsidRPr="00A56F76">
        <w:rPr>
          <w:lang w:val="en-US"/>
        </w:rPr>
        <w:t>Otherwise, the requirements for when DRX is not in use shall apply.</w:t>
      </w:r>
    </w:p>
    <w:p w:rsidR="001E40B5" w:rsidRPr="00A56F76" w:rsidRDefault="001E40B5" w:rsidP="001E40B5">
      <w:pPr>
        <w:numPr>
          <w:ilvl w:val="1"/>
          <w:numId w:val="25"/>
        </w:numPr>
      </w:pPr>
      <w:r w:rsidRPr="00A56F76">
        <w:rPr>
          <w:lang w:val="en-US"/>
        </w:rPr>
        <w:t xml:space="preserve">For RLM and BFD in DRX mode, </w:t>
      </w:r>
    </w:p>
    <w:p w:rsidR="001E40B5" w:rsidRPr="00A56F76" w:rsidRDefault="001E40B5" w:rsidP="001E40B5">
      <w:pPr>
        <w:numPr>
          <w:ilvl w:val="2"/>
          <w:numId w:val="25"/>
        </w:numPr>
      </w:pPr>
      <w:r w:rsidRPr="00A56F76">
        <w:rPr>
          <w:lang w:val="en-US"/>
        </w:rPr>
        <w:t>UE follows the same principle as above.</w:t>
      </w:r>
    </w:p>
    <w:p w:rsidR="001E40B5" w:rsidRDefault="001E40B5" w:rsidP="002B1082">
      <w:pPr>
        <w:rPr>
          <w:lang w:val="en-US" w:eastAsia="zh-CN"/>
        </w:rPr>
      </w:pPr>
    </w:p>
    <w:p w:rsidR="001E40B5" w:rsidRDefault="001E40B5" w:rsidP="002B1082">
      <w:pPr>
        <w:rPr>
          <w:lang w:val="en-US" w:eastAsia="zh-CN"/>
        </w:rPr>
      </w:pPr>
      <w:r>
        <w:rPr>
          <w:lang w:val="en-US" w:eastAsia="zh-CN"/>
        </w:rPr>
        <w:t>Or equivalently</w:t>
      </w:r>
      <w:r w:rsidR="00F228A6">
        <w:rPr>
          <w:lang w:val="en-US" w:eastAsia="zh-CN"/>
        </w:rPr>
        <w:t xml:space="preserve"> </w:t>
      </w:r>
    </w:p>
    <w:p w:rsidR="00F228A6" w:rsidRPr="00F228A6" w:rsidRDefault="00F228A6" w:rsidP="002B1082">
      <w:pPr>
        <w:rPr>
          <w:b/>
          <w:lang w:val="en-US" w:eastAsia="zh-CN"/>
        </w:rPr>
      </w:pPr>
      <w:r>
        <w:rPr>
          <w:b/>
          <w:lang w:val="en-US" w:eastAsia="zh-CN"/>
        </w:rPr>
        <w:t>Proposal 1 : RRM requirements for intra</w:t>
      </w:r>
      <w:r w:rsidR="00090A51">
        <w:rPr>
          <w:b/>
          <w:lang w:val="en-US" w:eastAsia="zh-CN"/>
        </w:rPr>
        <w:t>-frequency</w:t>
      </w:r>
      <w:r>
        <w:rPr>
          <w:b/>
          <w:lang w:val="en-US" w:eastAsia="zh-CN"/>
        </w:rPr>
        <w:t xml:space="preserve"> MCG and SCG</w:t>
      </w:r>
      <w:r w:rsidR="000166E6">
        <w:rPr>
          <w:b/>
          <w:lang w:val="en-US" w:eastAsia="zh-CN"/>
        </w:rPr>
        <w:t xml:space="preserve"> is according to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1E40B5" w:rsidRPr="00CF4B0A" w:rsidTr="00CF4B0A">
        <w:tc>
          <w:tcPr>
            <w:tcW w:w="1793" w:type="dxa"/>
            <w:shd w:val="clear" w:color="auto" w:fill="auto"/>
          </w:tcPr>
          <w:p w:rsidR="001E40B5" w:rsidRPr="00CF4B0A" w:rsidRDefault="001E40B5" w:rsidP="002B1082">
            <w:pPr>
              <w:rPr>
                <w:lang w:val="en-US" w:eastAsia="zh-CN"/>
              </w:rPr>
            </w:pPr>
          </w:p>
        </w:tc>
        <w:tc>
          <w:tcPr>
            <w:tcW w:w="3588" w:type="dxa"/>
            <w:gridSpan w:val="2"/>
            <w:shd w:val="clear" w:color="auto" w:fill="auto"/>
          </w:tcPr>
          <w:p w:rsidR="001E40B5" w:rsidRPr="00CF4B0A" w:rsidRDefault="001E40B5" w:rsidP="002B1082">
            <w:pPr>
              <w:rPr>
                <w:lang w:val="en-US" w:eastAsia="zh-CN"/>
              </w:rPr>
            </w:pPr>
            <w:r w:rsidRPr="00CF4B0A">
              <w:rPr>
                <w:lang w:val="en-US" w:eastAsia="zh-CN"/>
              </w:rPr>
              <w:t>DRX on/off</w:t>
            </w:r>
          </w:p>
        </w:tc>
        <w:tc>
          <w:tcPr>
            <w:tcW w:w="3588" w:type="dxa"/>
            <w:gridSpan w:val="2"/>
            <w:shd w:val="clear" w:color="auto" w:fill="auto"/>
          </w:tcPr>
          <w:p w:rsidR="001E40B5" w:rsidRPr="00CF4B0A" w:rsidRDefault="001E40B5" w:rsidP="002B1082">
            <w:pPr>
              <w:rPr>
                <w:lang w:val="en-US" w:eastAsia="zh-CN"/>
              </w:rPr>
            </w:pPr>
            <w:r w:rsidRPr="00CF4B0A">
              <w:rPr>
                <w:lang w:val="en-US" w:eastAsia="zh-CN"/>
              </w:rPr>
              <w:t>Intra requirements</w:t>
            </w:r>
          </w:p>
        </w:tc>
      </w:tr>
      <w:tr w:rsidR="001E40B5" w:rsidRPr="00CF4B0A" w:rsidTr="00CF4B0A">
        <w:tc>
          <w:tcPr>
            <w:tcW w:w="1793" w:type="dxa"/>
            <w:shd w:val="clear" w:color="auto" w:fill="auto"/>
          </w:tcPr>
          <w:p w:rsidR="001E40B5" w:rsidRPr="00CF4B0A" w:rsidRDefault="001E40B5" w:rsidP="002B1082">
            <w:pPr>
              <w:rPr>
                <w:lang w:val="en-US" w:eastAsia="zh-CN"/>
              </w:rPr>
            </w:pPr>
          </w:p>
        </w:tc>
        <w:tc>
          <w:tcPr>
            <w:tcW w:w="1794" w:type="dxa"/>
            <w:shd w:val="clear" w:color="auto" w:fill="auto"/>
          </w:tcPr>
          <w:p w:rsidR="001E40B5" w:rsidRPr="00CF4B0A" w:rsidRDefault="001E40B5" w:rsidP="002B1082">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1E40B5" w:rsidRPr="00CF4B0A" w:rsidRDefault="001E40B5" w:rsidP="002B1082">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1E40B5" w:rsidRPr="00CF4B0A" w:rsidRDefault="001E40B5" w:rsidP="002B1082">
            <w:pPr>
              <w:rPr>
                <w:lang w:val="en-US" w:eastAsia="zh-CN"/>
              </w:rPr>
            </w:pPr>
            <w:r w:rsidRPr="00CF4B0A">
              <w:rPr>
                <w:lang w:val="en-US" w:eastAsia="zh-CN"/>
              </w:rPr>
              <w:t>LTE</w:t>
            </w:r>
          </w:p>
        </w:tc>
        <w:tc>
          <w:tcPr>
            <w:tcW w:w="1794" w:type="dxa"/>
            <w:shd w:val="clear" w:color="auto" w:fill="auto"/>
          </w:tcPr>
          <w:p w:rsidR="001E40B5" w:rsidRPr="00CF4B0A" w:rsidRDefault="001E40B5" w:rsidP="002B1082">
            <w:pPr>
              <w:rPr>
                <w:lang w:val="en-US" w:eastAsia="zh-CN"/>
              </w:rPr>
            </w:pPr>
            <w:r w:rsidRPr="00CF4B0A">
              <w:rPr>
                <w:lang w:val="en-US" w:eastAsia="zh-CN"/>
              </w:rPr>
              <w:t>NR</w:t>
            </w:r>
          </w:p>
        </w:tc>
      </w:tr>
      <w:tr w:rsidR="001E40B5" w:rsidRPr="00CF4B0A" w:rsidTr="00CF4B0A">
        <w:tc>
          <w:tcPr>
            <w:tcW w:w="1793" w:type="dxa"/>
            <w:shd w:val="clear" w:color="auto" w:fill="auto"/>
          </w:tcPr>
          <w:p w:rsidR="001E40B5" w:rsidRPr="00CF4B0A" w:rsidRDefault="001E40B5" w:rsidP="002B1082">
            <w:pPr>
              <w:rPr>
                <w:lang w:val="en-US" w:eastAsia="zh-CN"/>
              </w:rPr>
            </w:pPr>
            <w:r w:rsidRPr="00CF4B0A">
              <w:rPr>
                <w:lang w:val="en-US" w:eastAsia="zh-CN"/>
              </w:rPr>
              <w:t>Case A</w:t>
            </w:r>
          </w:p>
        </w:tc>
        <w:tc>
          <w:tcPr>
            <w:tcW w:w="1794" w:type="dxa"/>
            <w:shd w:val="clear" w:color="auto" w:fill="auto"/>
          </w:tcPr>
          <w:p w:rsidR="001E40B5" w:rsidRPr="00CF4B0A" w:rsidRDefault="001E40B5" w:rsidP="002B1082">
            <w:pPr>
              <w:rPr>
                <w:lang w:val="en-US" w:eastAsia="zh-CN"/>
              </w:rPr>
            </w:pPr>
            <w:r w:rsidRPr="00CF4B0A">
              <w:rPr>
                <w:lang w:val="en-US" w:eastAsia="zh-CN"/>
              </w:rPr>
              <w:t xml:space="preserve">Off </w:t>
            </w:r>
          </w:p>
        </w:tc>
        <w:tc>
          <w:tcPr>
            <w:tcW w:w="1794" w:type="dxa"/>
            <w:shd w:val="clear" w:color="auto" w:fill="auto"/>
          </w:tcPr>
          <w:p w:rsidR="001E40B5" w:rsidRPr="00CF4B0A" w:rsidRDefault="001E40B5" w:rsidP="002B1082">
            <w:pPr>
              <w:rPr>
                <w:lang w:val="en-US" w:eastAsia="zh-CN"/>
              </w:rPr>
            </w:pPr>
            <w:r w:rsidRPr="00CF4B0A">
              <w:rPr>
                <w:lang w:val="en-US" w:eastAsia="zh-CN"/>
              </w:rPr>
              <w:t>Off</w:t>
            </w:r>
          </w:p>
        </w:tc>
        <w:tc>
          <w:tcPr>
            <w:tcW w:w="1794" w:type="dxa"/>
            <w:shd w:val="clear" w:color="auto" w:fill="auto"/>
          </w:tcPr>
          <w:p w:rsidR="001E40B5" w:rsidRPr="00CF4B0A" w:rsidRDefault="001E40B5" w:rsidP="002B1082">
            <w:pPr>
              <w:rPr>
                <w:lang w:val="en-US" w:eastAsia="zh-CN"/>
              </w:rPr>
            </w:pPr>
            <w:r w:rsidRPr="00CF4B0A">
              <w:rPr>
                <w:lang w:val="en-US" w:eastAsia="zh-CN"/>
              </w:rPr>
              <w:t>Non DRX</w:t>
            </w:r>
          </w:p>
        </w:tc>
        <w:tc>
          <w:tcPr>
            <w:tcW w:w="1794" w:type="dxa"/>
            <w:shd w:val="clear" w:color="auto" w:fill="auto"/>
          </w:tcPr>
          <w:p w:rsidR="001E40B5" w:rsidRPr="00CF4B0A" w:rsidRDefault="001E40B5" w:rsidP="002B1082">
            <w:pPr>
              <w:rPr>
                <w:lang w:val="en-US" w:eastAsia="zh-CN"/>
              </w:rPr>
            </w:pPr>
            <w:r w:rsidRPr="00CF4B0A">
              <w:rPr>
                <w:lang w:val="en-US" w:eastAsia="zh-CN"/>
              </w:rPr>
              <w:t>Non DRX</w:t>
            </w:r>
          </w:p>
        </w:tc>
      </w:tr>
      <w:tr w:rsidR="001E40B5" w:rsidRPr="00CF4B0A" w:rsidTr="00CF4B0A">
        <w:tc>
          <w:tcPr>
            <w:tcW w:w="1793" w:type="dxa"/>
            <w:shd w:val="clear" w:color="auto" w:fill="auto"/>
          </w:tcPr>
          <w:p w:rsidR="001E40B5" w:rsidRPr="00CF4B0A" w:rsidRDefault="001E40B5" w:rsidP="002B1082">
            <w:pPr>
              <w:rPr>
                <w:lang w:val="en-US" w:eastAsia="zh-CN"/>
              </w:rPr>
            </w:pPr>
            <w:r w:rsidRPr="00CF4B0A">
              <w:rPr>
                <w:lang w:val="en-US" w:eastAsia="zh-CN"/>
              </w:rPr>
              <w:t>Case B</w:t>
            </w:r>
          </w:p>
        </w:tc>
        <w:tc>
          <w:tcPr>
            <w:tcW w:w="1794" w:type="dxa"/>
            <w:shd w:val="clear" w:color="auto" w:fill="auto"/>
          </w:tcPr>
          <w:p w:rsidR="001E40B5" w:rsidRPr="00CF4B0A" w:rsidRDefault="001E40B5" w:rsidP="002B1082">
            <w:pPr>
              <w:rPr>
                <w:lang w:val="en-US" w:eastAsia="zh-CN"/>
              </w:rPr>
            </w:pPr>
            <w:r w:rsidRPr="00CF4B0A">
              <w:rPr>
                <w:lang w:val="en-US" w:eastAsia="zh-CN"/>
              </w:rPr>
              <w:t>On</w:t>
            </w:r>
          </w:p>
        </w:tc>
        <w:tc>
          <w:tcPr>
            <w:tcW w:w="1794" w:type="dxa"/>
            <w:shd w:val="clear" w:color="auto" w:fill="auto"/>
          </w:tcPr>
          <w:p w:rsidR="001E40B5" w:rsidRPr="00CF4B0A" w:rsidRDefault="001E40B5" w:rsidP="002B1082">
            <w:pPr>
              <w:rPr>
                <w:lang w:val="en-US" w:eastAsia="zh-CN"/>
              </w:rPr>
            </w:pPr>
            <w:r w:rsidRPr="00CF4B0A">
              <w:rPr>
                <w:lang w:val="en-US" w:eastAsia="zh-CN"/>
              </w:rPr>
              <w:t>Off</w:t>
            </w:r>
          </w:p>
        </w:tc>
        <w:tc>
          <w:tcPr>
            <w:tcW w:w="1794" w:type="dxa"/>
            <w:shd w:val="clear" w:color="auto" w:fill="auto"/>
          </w:tcPr>
          <w:p w:rsidR="001E40B5" w:rsidRPr="00CF4B0A" w:rsidRDefault="001E40B5" w:rsidP="002B1082">
            <w:pPr>
              <w:rPr>
                <w:lang w:val="en-US" w:eastAsia="zh-CN"/>
              </w:rPr>
            </w:pPr>
            <w:r w:rsidRPr="00CF4B0A">
              <w:rPr>
                <w:lang w:val="en-US" w:eastAsia="zh-CN"/>
              </w:rPr>
              <w:t>According to MCG DRX cycle</w:t>
            </w:r>
            <w:r w:rsidR="00F228A6" w:rsidRPr="00CF4B0A">
              <w:rPr>
                <w:lang w:val="en-US" w:eastAsia="zh-CN"/>
              </w:rPr>
              <w:t xml:space="preserve"> </w:t>
            </w:r>
          </w:p>
        </w:tc>
        <w:tc>
          <w:tcPr>
            <w:tcW w:w="1794" w:type="dxa"/>
            <w:shd w:val="clear" w:color="auto" w:fill="auto"/>
          </w:tcPr>
          <w:p w:rsidR="001E40B5" w:rsidRPr="00CF4B0A" w:rsidRDefault="001E40B5" w:rsidP="002B1082">
            <w:pPr>
              <w:rPr>
                <w:lang w:val="en-US" w:eastAsia="zh-CN"/>
              </w:rPr>
            </w:pPr>
            <w:r w:rsidRPr="00CF4B0A">
              <w:rPr>
                <w:lang w:val="en-US" w:eastAsia="zh-CN"/>
              </w:rPr>
              <w:t>Non DRX</w:t>
            </w:r>
          </w:p>
        </w:tc>
      </w:tr>
      <w:tr w:rsidR="001E40B5" w:rsidRPr="00CF4B0A" w:rsidTr="00CF4B0A">
        <w:tc>
          <w:tcPr>
            <w:tcW w:w="1793" w:type="dxa"/>
            <w:shd w:val="clear" w:color="auto" w:fill="auto"/>
          </w:tcPr>
          <w:p w:rsidR="001E40B5" w:rsidRPr="00CF4B0A" w:rsidRDefault="001E40B5" w:rsidP="002B1082">
            <w:pPr>
              <w:rPr>
                <w:lang w:val="en-US" w:eastAsia="zh-CN"/>
              </w:rPr>
            </w:pPr>
            <w:r w:rsidRPr="00CF4B0A">
              <w:rPr>
                <w:lang w:val="en-US" w:eastAsia="zh-CN"/>
              </w:rPr>
              <w:t>Case C</w:t>
            </w:r>
          </w:p>
        </w:tc>
        <w:tc>
          <w:tcPr>
            <w:tcW w:w="1794" w:type="dxa"/>
            <w:shd w:val="clear" w:color="auto" w:fill="auto"/>
          </w:tcPr>
          <w:p w:rsidR="001E40B5" w:rsidRPr="00CF4B0A" w:rsidRDefault="001E40B5" w:rsidP="002B1082">
            <w:pPr>
              <w:rPr>
                <w:lang w:val="en-US" w:eastAsia="zh-CN"/>
              </w:rPr>
            </w:pPr>
            <w:r w:rsidRPr="00CF4B0A">
              <w:rPr>
                <w:lang w:val="en-US" w:eastAsia="zh-CN"/>
              </w:rPr>
              <w:t>Off</w:t>
            </w:r>
          </w:p>
        </w:tc>
        <w:tc>
          <w:tcPr>
            <w:tcW w:w="1794" w:type="dxa"/>
            <w:shd w:val="clear" w:color="auto" w:fill="auto"/>
          </w:tcPr>
          <w:p w:rsidR="001E40B5" w:rsidRPr="00CF4B0A" w:rsidRDefault="001E40B5" w:rsidP="002B1082">
            <w:pPr>
              <w:rPr>
                <w:lang w:val="en-US" w:eastAsia="zh-CN"/>
              </w:rPr>
            </w:pPr>
            <w:r w:rsidRPr="00CF4B0A">
              <w:rPr>
                <w:lang w:val="en-US" w:eastAsia="zh-CN"/>
              </w:rPr>
              <w:t>On</w:t>
            </w:r>
          </w:p>
        </w:tc>
        <w:tc>
          <w:tcPr>
            <w:tcW w:w="1794" w:type="dxa"/>
            <w:shd w:val="clear" w:color="auto" w:fill="auto"/>
          </w:tcPr>
          <w:p w:rsidR="001E40B5" w:rsidRPr="00CF4B0A" w:rsidRDefault="00F228A6" w:rsidP="002B1082">
            <w:pPr>
              <w:rPr>
                <w:lang w:val="en-US" w:eastAsia="zh-CN"/>
              </w:rPr>
            </w:pPr>
            <w:r w:rsidRPr="00CF4B0A">
              <w:rPr>
                <w:lang w:val="en-US" w:eastAsia="zh-CN"/>
              </w:rPr>
              <w:t>Non DRX</w:t>
            </w:r>
          </w:p>
        </w:tc>
        <w:tc>
          <w:tcPr>
            <w:tcW w:w="1794" w:type="dxa"/>
            <w:shd w:val="clear" w:color="auto" w:fill="auto"/>
          </w:tcPr>
          <w:p w:rsidR="001E40B5" w:rsidRPr="00CF4B0A" w:rsidRDefault="001E40B5" w:rsidP="002B1082">
            <w:pPr>
              <w:rPr>
                <w:lang w:val="en-US" w:eastAsia="zh-CN"/>
              </w:rPr>
            </w:pPr>
            <w:r w:rsidRPr="00CF4B0A">
              <w:rPr>
                <w:lang w:val="en-US" w:eastAsia="zh-CN"/>
              </w:rPr>
              <w:t>According to SCG DRX cycle</w:t>
            </w:r>
          </w:p>
        </w:tc>
      </w:tr>
      <w:tr w:rsidR="001E40B5" w:rsidRPr="00CF4B0A" w:rsidTr="00CF4B0A">
        <w:tc>
          <w:tcPr>
            <w:tcW w:w="1793" w:type="dxa"/>
            <w:shd w:val="clear" w:color="auto" w:fill="auto"/>
          </w:tcPr>
          <w:p w:rsidR="001E40B5" w:rsidRPr="00CF4B0A" w:rsidRDefault="001E40B5" w:rsidP="002B1082">
            <w:pPr>
              <w:rPr>
                <w:lang w:val="en-US" w:eastAsia="zh-CN"/>
              </w:rPr>
            </w:pPr>
            <w:r w:rsidRPr="00CF4B0A">
              <w:rPr>
                <w:lang w:val="en-US" w:eastAsia="zh-CN"/>
              </w:rPr>
              <w:t>Case D</w:t>
            </w:r>
          </w:p>
        </w:tc>
        <w:tc>
          <w:tcPr>
            <w:tcW w:w="1794" w:type="dxa"/>
            <w:shd w:val="clear" w:color="auto" w:fill="auto"/>
          </w:tcPr>
          <w:p w:rsidR="001E40B5" w:rsidRPr="00CF4B0A" w:rsidRDefault="00F228A6" w:rsidP="002B1082">
            <w:pPr>
              <w:rPr>
                <w:lang w:val="en-US" w:eastAsia="zh-CN"/>
              </w:rPr>
            </w:pPr>
            <w:r w:rsidRPr="00CF4B0A">
              <w:rPr>
                <w:lang w:val="en-US" w:eastAsia="zh-CN"/>
              </w:rPr>
              <w:t>On</w:t>
            </w:r>
          </w:p>
        </w:tc>
        <w:tc>
          <w:tcPr>
            <w:tcW w:w="1794" w:type="dxa"/>
            <w:shd w:val="clear" w:color="auto" w:fill="auto"/>
          </w:tcPr>
          <w:p w:rsidR="001E40B5" w:rsidRPr="00CF4B0A" w:rsidRDefault="00F228A6" w:rsidP="002B1082">
            <w:pPr>
              <w:rPr>
                <w:lang w:val="en-US" w:eastAsia="zh-CN"/>
              </w:rPr>
            </w:pPr>
            <w:r w:rsidRPr="00CF4B0A">
              <w:rPr>
                <w:lang w:val="en-US" w:eastAsia="zh-CN"/>
              </w:rPr>
              <w:t>On</w:t>
            </w:r>
          </w:p>
        </w:tc>
        <w:tc>
          <w:tcPr>
            <w:tcW w:w="1794" w:type="dxa"/>
            <w:shd w:val="clear" w:color="auto" w:fill="auto"/>
          </w:tcPr>
          <w:p w:rsidR="001E40B5" w:rsidRPr="00CF4B0A" w:rsidRDefault="00F228A6" w:rsidP="002B1082">
            <w:pPr>
              <w:rPr>
                <w:lang w:val="en-US" w:eastAsia="zh-CN"/>
              </w:rPr>
            </w:pPr>
            <w:r w:rsidRPr="00CF4B0A">
              <w:rPr>
                <w:lang w:val="en-US" w:eastAsia="zh-CN"/>
              </w:rPr>
              <w:t>According to MCG DRX cycle</w:t>
            </w:r>
          </w:p>
        </w:tc>
        <w:tc>
          <w:tcPr>
            <w:tcW w:w="1794" w:type="dxa"/>
            <w:shd w:val="clear" w:color="auto" w:fill="auto"/>
          </w:tcPr>
          <w:p w:rsidR="001E40B5" w:rsidRPr="00CF4B0A" w:rsidRDefault="001E40B5" w:rsidP="002B1082">
            <w:pPr>
              <w:rPr>
                <w:lang w:val="en-US" w:eastAsia="zh-CN"/>
              </w:rPr>
            </w:pPr>
            <w:r w:rsidRPr="00CF4B0A">
              <w:rPr>
                <w:lang w:val="en-US" w:eastAsia="zh-CN"/>
              </w:rPr>
              <w:t>According to SCG DRX cycle</w:t>
            </w:r>
          </w:p>
        </w:tc>
      </w:tr>
    </w:tbl>
    <w:p w:rsidR="000166E6" w:rsidRPr="00F228A6" w:rsidRDefault="000166E6" w:rsidP="000166E6">
      <w:pPr>
        <w:rPr>
          <w:b/>
          <w:lang w:val="en-US" w:eastAsia="zh-CN"/>
        </w:rPr>
      </w:pPr>
      <w:r>
        <w:rPr>
          <w:b/>
          <w:lang w:val="en-US" w:eastAsia="zh-CN"/>
        </w:rPr>
        <w:t>Table 1 : Proposed DRX requirements for MCG and SCG intra-frequency measurements</w:t>
      </w:r>
    </w:p>
    <w:p w:rsidR="00F228A6" w:rsidRPr="000166E6" w:rsidRDefault="000166E6" w:rsidP="002B1082">
      <w:pPr>
        <w:rPr>
          <w:b/>
          <w:lang w:val="en-US" w:eastAsia="zh-CN"/>
        </w:rPr>
      </w:pPr>
      <w:r>
        <w:rPr>
          <w:b/>
          <w:lang w:val="en-US" w:eastAsia="zh-CN"/>
        </w:rPr>
        <w:lastRenderedPageBreak/>
        <w:t xml:space="preserve">Proposal </w:t>
      </w:r>
      <w:r w:rsidRPr="000166E6">
        <w:rPr>
          <w:lang w:val="en-US" w:eastAsia="zh-CN"/>
        </w:rPr>
        <w:t xml:space="preserve">2: </w:t>
      </w:r>
      <w:r w:rsidRPr="000166E6">
        <w:rPr>
          <w:lang w:val="en-US"/>
        </w:rPr>
        <w:t>For RLM and BFD in DRX mode the same principle as proposal 1 is followed</w:t>
      </w:r>
    </w:p>
    <w:p w:rsidR="00F228A6" w:rsidRPr="00F228A6" w:rsidRDefault="00F228A6" w:rsidP="002B1082">
      <w:pPr>
        <w:rPr>
          <w:u w:val="single"/>
          <w:lang w:val="en-US" w:eastAsia="zh-CN"/>
        </w:rPr>
      </w:pPr>
      <w:r w:rsidRPr="00F228A6">
        <w:rPr>
          <w:u w:val="single"/>
          <w:lang w:val="en-US" w:eastAsia="zh-CN"/>
        </w:rPr>
        <w:t>Inter-frequency/InterRAT requirements</w:t>
      </w:r>
    </w:p>
    <w:p w:rsidR="00F228A6" w:rsidRDefault="00F228A6" w:rsidP="002B1082">
      <w:pPr>
        <w:rPr>
          <w:lang w:val="en-US" w:eastAsia="zh-CN"/>
        </w:rPr>
      </w:pPr>
      <w:r>
        <w:rPr>
          <w:lang w:val="en-US" w:eastAsia="zh-CN"/>
        </w:rPr>
        <w:t xml:space="preserve">For case A, </w:t>
      </w:r>
      <w:r w:rsidR="00090A51">
        <w:rPr>
          <w:lang w:val="en-US" w:eastAsia="zh-CN"/>
        </w:rPr>
        <w:t>the</w:t>
      </w:r>
      <w:r>
        <w:rPr>
          <w:lang w:val="en-US" w:eastAsia="zh-CN"/>
        </w:rPr>
        <w:t xml:space="preserve"> UE is operating with non DRX on both MCG and SCG so also the RRM requirements are based on non DRX. Also, for case B and C, it seems </w:t>
      </w:r>
      <w:r w:rsidR="00090A51">
        <w:rPr>
          <w:lang w:val="en-US" w:eastAsia="zh-CN"/>
        </w:rPr>
        <w:t>reasonable</w:t>
      </w:r>
      <w:r>
        <w:rPr>
          <w:lang w:val="en-US" w:eastAsia="zh-CN"/>
        </w:rPr>
        <w:t xml:space="preserve"> that the UE should follow the relevant DRX cycle, </w:t>
      </w:r>
      <w:r w:rsidR="00090A51">
        <w:rPr>
          <w:lang w:val="en-US" w:eastAsia="zh-CN"/>
        </w:rPr>
        <w:t>i.e.</w:t>
      </w:r>
      <w:r>
        <w:rPr>
          <w:lang w:val="en-US" w:eastAsia="zh-CN"/>
        </w:rPr>
        <w:t xml:space="preserve"> for case B LTE should be measured according to the MCG DRX cycle and for case C according to the SCG DRX cycle. Case D has been discussed in RAN4, and one proposal is that both MCG and SCG would be measured with a single DRX cycle such as max(MCG DRX cycle, SCG </w:t>
      </w:r>
      <w:r w:rsidR="000932F5">
        <w:rPr>
          <w:lang w:val="en-US" w:eastAsia="zh-CN"/>
        </w:rPr>
        <w:t>DRX cycle)</w:t>
      </w:r>
      <w:r w:rsidR="007E10E4">
        <w:rPr>
          <w:lang w:val="en-US" w:eastAsia="zh-CN"/>
        </w:rPr>
        <w:t xml:space="preserve"> or min(MCG DRX cycle, SCG DRX cycle)</w:t>
      </w:r>
      <w:r w:rsidR="000932F5">
        <w:rPr>
          <w:lang w:val="en-US" w:eastAsia="zh-CN"/>
        </w:rPr>
        <w:t>. The benefit of this approach is that it allows UE implementations to concentrate interfrequency and interRAT measurements around a single point in time, which may save some power. On the other hand, the UE will anyway need to wake up according to the independent DRX cycles for serving cell PDCCH monitoring, so the power savings are less than would be obtained if the network were to synchronize MCG and SCG DRX cycles.</w:t>
      </w:r>
    </w:p>
    <w:p w:rsidR="000932F5" w:rsidRDefault="000932F5" w:rsidP="002B1082">
      <w:pPr>
        <w:rPr>
          <w:lang w:val="en-US" w:eastAsia="zh-CN"/>
        </w:rPr>
      </w:pPr>
      <w:r>
        <w:rPr>
          <w:lang w:val="en-US" w:eastAsia="zh-CN"/>
        </w:rPr>
        <w:t>Considering that the single cell group requirements for DRX cycles ≤ 40ms are very similar to non DRX requirements, one problem with using max(MCG DRX cycle, SCG DRX cycle) occurs if there is very different DRX cycle between MCG and SCG. For example, if MCG DRX cycle is 40ms, and SCG DRX cycle is 1.28s, using max(MCG DRX,SCG DRX) would lead to very relaxed LTE requirements, even though the UE is operating with 40ms DRX cycle in LTE, and thus monitoring MCG DPCCH every 40ms. Since 40ms DRX cycle LTE RRM requirements should normally have the same requirements as non DRX, it would seem more reasonable to treat this similarly to the non DRX case.</w:t>
      </w:r>
    </w:p>
    <w:p w:rsidR="000932F5" w:rsidRDefault="000932F5" w:rsidP="002B1082">
      <w:pPr>
        <w:rPr>
          <w:lang w:val="en-US" w:eastAsia="zh-CN"/>
        </w:rPr>
      </w:pPr>
      <w:r>
        <w:rPr>
          <w:lang w:val="en-US" w:eastAsia="zh-CN"/>
        </w:rPr>
        <w:t>Therefore</w:t>
      </w:r>
      <w:r w:rsidR="00090A51">
        <w:rPr>
          <w:lang w:val="en-US" w:eastAsia="zh-CN"/>
        </w:rPr>
        <w:t>,</w:t>
      </w:r>
      <w:r>
        <w:rPr>
          <w:lang w:val="en-US" w:eastAsia="zh-CN"/>
        </w:rPr>
        <w:t xml:space="preserve"> we propose to split case D, according to DRX cycle duration as well as DRX state</w:t>
      </w:r>
      <w:r w:rsidR="000166E6">
        <w:rPr>
          <w:lang w:val="en-US" w:eastAsia="zh-CN"/>
        </w:rPr>
        <w:t xml:space="preserve"> which allows for power saving when both MCG and SCG have significant DRX opportunities</w:t>
      </w:r>
    </w:p>
    <w:p w:rsidR="000166E6" w:rsidRPr="00F228A6" w:rsidRDefault="000166E6" w:rsidP="000166E6">
      <w:pPr>
        <w:rPr>
          <w:b/>
          <w:lang w:val="en-US" w:eastAsia="zh-CN"/>
        </w:rPr>
      </w:pPr>
      <w:r>
        <w:rPr>
          <w:b/>
          <w:lang w:val="en-US" w:eastAsia="zh-CN"/>
        </w:rPr>
        <w:t>Proposal 3 : RRM requirements for  interfrequency/interRAT is according to 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0932F5" w:rsidRPr="00CF4B0A" w:rsidTr="00CF4B0A">
        <w:tc>
          <w:tcPr>
            <w:tcW w:w="1793" w:type="dxa"/>
            <w:shd w:val="clear" w:color="auto" w:fill="auto"/>
          </w:tcPr>
          <w:p w:rsidR="000932F5" w:rsidRPr="00CF4B0A" w:rsidRDefault="000932F5" w:rsidP="00CF4B0A">
            <w:pPr>
              <w:rPr>
                <w:lang w:val="en-US" w:eastAsia="zh-CN"/>
              </w:rPr>
            </w:pPr>
          </w:p>
        </w:tc>
        <w:tc>
          <w:tcPr>
            <w:tcW w:w="3588" w:type="dxa"/>
            <w:gridSpan w:val="2"/>
            <w:shd w:val="clear" w:color="auto" w:fill="auto"/>
          </w:tcPr>
          <w:p w:rsidR="000932F5" w:rsidRPr="00CF4B0A" w:rsidRDefault="000932F5" w:rsidP="00CF4B0A">
            <w:pPr>
              <w:rPr>
                <w:lang w:val="en-US" w:eastAsia="zh-CN"/>
              </w:rPr>
            </w:pPr>
            <w:r w:rsidRPr="00CF4B0A">
              <w:rPr>
                <w:lang w:val="en-US" w:eastAsia="zh-CN"/>
              </w:rPr>
              <w:t>DRX on/off</w:t>
            </w:r>
            <w:r w:rsidR="000166E6" w:rsidRPr="00CF4B0A">
              <w:rPr>
                <w:lang w:val="en-US" w:eastAsia="zh-CN"/>
              </w:rPr>
              <w:t>, DRX Cycle</w:t>
            </w:r>
          </w:p>
        </w:tc>
        <w:tc>
          <w:tcPr>
            <w:tcW w:w="3588" w:type="dxa"/>
            <w:gridSpan w:val="2"/>
            <w:shd w:val="clear" w:color="auto" w:fill="auto"/>
          </w:tcPr>
          <w:p w:rsidR="000932F5" w:rsidRPr="00CF4B0A" w:rsidRDefault="000166E6" w:rsidP="00CF4B0A">
            <w:pPr>
              <w:rPr>
                <w:lang w:val="en-US" w:eastAsia="zh-CN"/>
              </w:rPr>
            </w:pPr>
            <w:r w:rsidRPr="00CF4B0A">
              <w:rPr>
                <w:lang w:val="en-US" w:eastAsia="zh-CN"/>
              </w:rPr>
              <w:t>Interfrequency/inter RAT</w:t>
            </w:r>
          </w:p>
        </w:tc>
      </w:tr>
      <w:tr w:rsidR="000932F5" w:rsidRPr="00CF4B0A" w:rsidTr="00CF4B0A">
        <w:tc>
          <w:tcPr>
            <w:tcW w:w="1793" w:type="dxa"/>
            <w:shd w:val="clear" w:color="auto" w:fill="auto"/>
          </w:tcPr>
          <w:p w:rsidR="000932F5" w:rsidRPr="00CF4B0A" w:rsidRDefault="000932F5" w:rsidP="00CF4B0A">
            <w:pPr>
              <w:rPr>
                <w:lang w:val="en-US" w:eastAsia="zh-CN"/>
              </w:rPr>
            </w:pPr>
          </w:p>
        </w:tc>
        <w:tc>
          <w:tcPr>
            <w:tcW w:w="1794" w:type="dxa"/>
            <w:shd w:val="clear" w:color="auto" w:fill="auto"/>
          </w:tcPr>
          <w:p w:rsidR="000932F5" w:rsidRPr="00CF4B0A" w:rsidRDefault="000932F5" w:rsidP="00CF4B0A">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0932F5" w:rsidRPr="00CF4B0A" w:rsidRDefault="000932F5" w:rsidP="00CF4B0A">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0932F5" w:rsidRPr="00CF4B0A" w:rsidRDefault="000932F5" w:rsidP="00CF4B0A">
            <w:pPr>
              <w:rPr>
                <w:lang w:val="en-US" w:eastAsia="zh-CN"/>
              </w:rPr>
            </w:pPr>
            <w:r w:rsidRPr="00CF4B0A">
              <w:rPr>
                <w:lang w:val="en-US" w:eastAsia="zh-CN"/>
              </w:rPr>
              <w:t>LTE</w:t>
            </w:r>
          </w:p>
        </w:tc>
        <w:tc>
          <w:tcPr>
            <w:tcW w:w="1794" w:type="dxa"/>
            <w:shd w:val="clear" w:color="auto" w:fill="auto"/>
          </w:tcPr>
          <w:p w:rsidR="000932F5" w:rsidRPr="00CF4B0A" w:rsidRDefault="000932F5" w:rsidP="00CF4B0A">
            <w:pPr>
              <w:rPr>
                <w:lang w:val="en-US" w:eastAsia="zh-CN"/>
              </w:rPr>
            </w:pPr>
            <w:r w:rsidRPr="00CF4B0A">
              <w:rPr>
                <w:lang w:val="en-US" w:eastAsia="zh-CN"/>
              </w:rPr>
              <w:t>NR</w:t>
            </w:r>
          </w:p>
        </w:tc>
      </w:tr>
      <w:tr w:rsidR="000932F5" w:rsidRPr="00CF4B0A" w:rsidTr="00CF4B0A">
        <w:tc>
          <w:tcPr>
            <w:tcW w:w="1793" w:type="dxa"/>
            <w:shd w:val="clear" w:color="auto" w:fill="auto"/>
          </w:tcPr>
          <w:p w:rsidR="000932F5" w:rsidRPr="00CF4B0A" w:rsidRDefault="000932F5" w:rsidP="00CF4B0A">
            <w:pPr>
              <w:rPr>
                <w:lang w:val="en-US" w:eastAsia="zh-CN"/>
              </w:rPr>
            </w:pPr>
            <w:r w:rsidRPr="00CF4B0A">
              <w:rPr>
                <w:lang w:val="en-US" w:eastAsia="zh-CN"/>
              </w:rPr>
              <w:t>Case A</w:t>
            </w:r>
          </w:p>
        </w:tc>
        <w:tc>
          <w:tcPr>
            <w:tcW w:w="1794" w:type="dxa"/>
            <w:shd w:val="clear" w:color="auto" w:fill="auto"/>
          </w:tcPr>
          <w:p w:rsidR="000932F5" w:rsidRPr="00CF4B0A" w:rsidRDefault="000932F5" w:rsidP="00CF4B0A">
            <w:pPr>
              <w:rPr>
                <w:lang w:val="en-US" w:eastAsia="zh-CN"/>
              </w:rPr>
            </w:pPr>
            <w:r w:rsidRPr="00CF4B0A">
              <w:rPr>
                <w:lang w:val="en-US" w:eastAsia="zh-CN"/>
              </w:rPr>
              <w:t>Off</w:t>
            </w:r>
            <w:r w:rsidR="000166E6" w:rsidRPr="00CF4B0A">
              <w:rPr>
                <w:lang w:val="en-US" w:eastAsia="zh-CN"/>
              </w:rPr>
              <w:t>, Any</w:t>
            </w:r>
          </w:p>
        </w:tc>
        <w:tc>
          <w:tcPr>
            <w:tcW w:w="1794" w:type="dxa"/>
            <w:shd w:val="clear" w:color="auto" w:fill="auto"/>
          </w:tcPr>
          <w:p w:rsidR="000932F5" w:rsidRPr="00CF4B0A" w:rsidRDefault="000932F5" w:rsidP="00CF4B0A">
            <w:pPr>
              <w:rPr>
                <w:lang w:val="en-US" w:eastAsia="zh-CN"/>
              </w:rPr>
            </w:pPr>
            <w:r w:rsidRPr="00CF4B0A">
              <w:rPr>
                <w:lang w:val="en-US" w:eastAsia="zh-CN"/>
              </w:rPr>
              <w:t>Off</w:t>
            </w:r>
            <w:r w:rsidR="000166E6" w:rsidRPr="00CF4B0A">
              <w:rPr>
                <w:lang w:val="en-US" w:eastAsia="zh-CN"/>
              </w:rPr>
              <w:t>, Any</w:t>
            </w:r>
          </w:p>
        </w:tc>
        <w:tc>
          <w:tcPr>
            <w:tcW w:w="1794" w:type="dxa"/>
            <w:shd w:val="clear" w:color="auto" w:fill="auto"/>
          </w:tcPr>
          <w:p w:rsidR="000932F5" w:rsidRPr="00CF4B0A" w:rsidRDefault="000932F5" w:rsidP="00CF4B0A">
            <w:pPr>
              <w:rPr>
                <w:lang w:val="en-US" w:eastAsia="zh-CN"/>
              </w:rPr>
            </w:pPr>
            <w:r w:rsidRPr="00CF4B0A">
              <w:rPr>
                <w:lang w:val="en-US" w:eastAsia="zh-CN"/>
              </w:rPr>
              <w:t>Non DRX</w:t>
            </w:r>
          </w:p>
        </w:tc>
        <w:tc>
          <w:tcPr>
            <w:tcW w:w="1794" w:type="dxa"/>
            <w:shd w:val="clear" w:color="auto" w:fill="auto"/>
          </w:tcPr>
          <w:p w:rsidR="000932F5" w:rsidRPr="00CF4B0A" w:rsidRDefault="000932F5" w:rsidP="00CF4B0A">
            <w:pPr>
              <w:rPr>
                <w:lang w:val="en-US" w:eastAsia="zh-CN"/>
              </w:rPr>
            </w:pPr>
            <w:r w:rsidRPr="00CF4B0A">
              <w:rPr>
                <w:lang w:val="en-US" w:eastAsia="zh-CN"/>
              </w:rPr>
              <w:t>Non DRX</w:t>
            </w:r>
          </w:p>
        </w:tc>
      </w:tr>
      <w:tr w:rsidR="000932F5" w:rsidRPr="00CF4B0A" w:rsidTr="00CF4B0A">
        <w:tc>
          <w:tcPr>
            <w:tcW w:w="1793" w:type="dxa"/>
            <w:shd w:val="clear" w:color="auto" w:fill="auto"/>
          </w:tcPr>
          <w:p w:rsidR="000932F5" w:rsidRPr="00CF4B0A" w:rsidRDefault="000932F5" w:rsidP="00CF4B0A">
            <w:pPr>
              <w:rPr>
                <w:lang w:val="en-US" w:eastAsia="zh-CN"/>
              </w:rPr>
            </w:pPr>
            <w:r w:rsidRPr="00CF4B0A">
              <w:rPr>
                <w:lang w:val="en-US" w:eastAsia="zh-CN"/>
              </w:rPr>
              <w:t>Case B</w:t>
            </w:r>
          </w:p>
        </w:tc>
        <w:tc>
          <w:tcPr>
            <w:tcW w:w="1794" w:type="dxa"/>
            <w:shd w:val="clear" w:color="auto" w:fill="auto"/>
          </w:tcPr>
          <w:p w:rsidR="000932F5" w:rsidRPr="00CF4B0A" w:rsidRDefault="000932F5" w:rsidP="00CF4B0A">
            <w:pPr>
              <w:rPr>
                <w:lang w:val="en-US" w:eastAsia="zh-CN"/>
              </w:rPr>
            </w:pPr>
            <w:r w:rsidRPr="00CF4B0A">
              <w:rPr>
                <w:lang w:val="en-US" w:eastAsia="zh-CN"/>
              </w:rPr>
              <w:t>On</w:t>
            </w:r>
            <w:r w:rsidR="000166E6" w:rsidRPr="00CF4B0A">
              <w:rPr>
                <w:lang w:val="en-US" w:eastAsia="zh-CN"/>
              </w:rPr>
              <w:t>, Any</w:t>
            </w:r>
          </w:p>
        </w:tc>
        <w:tc>
          <w:tcPr>
            <w:tcW w:w="1794" w:type="dxa"/>
            <w:shd w:val="clear" w:color="auto" w:fill="auto"/>
          </w:tcPr>
          <w:p w:rsidR="000932F5" w:rsidRPr="00CF4B0A" w:rsidRDefault="000932F5" w:rsidP="00CF4B0A">
            <w:pPr>
              <w:rPr>
                <w:lang w:val="en-US" w:eastAsia="zh-CN"/>
              </w:rPr>
            </w:pPr>
            <w:r w:rsidRPr="00CF4B0A">
              <w:rPr>
                <w:lang w:val="en-US" w:eastAsia="zh-CN"/>
              </w:rPr>
              <w:t>Off</w:t>
            </w:r>
            <w:r w:rsidR="000166E6" w:rsidRPr="00CF4B0A">
              <w:rPr>
                <w:lang w:val="en-US" w:eastAsia="zh-CN"/>
              </w:rPr>
              <w:t>, Any</w:t>
            </w:r>
          </w:p>
        </w:tc>
        <w:tc>
          <w:tcPr>
            <w:tcW w:w="1794" w:type="dxa"/>
            <w:shd w:val="clear" w:color="auto" w:fill="auto"/>
          </w:tcPr>
          <w:p w:rsidR="000932F5" w:rsidRPr="00CF4B0A" w:rsidRDefault="000932F5" w:rsidP="00CF4B0A">
            <w:pPr>
              <w:rPr>
                <w:lang w:val="en-US" w:eastAsia="zh-CN"/>
              </w:rPr>
            </w:pPr>
            <w:r w:rsidRPr="00CF4B0A">
              <w:rPr>
                <w:lang w:val="en-US" w:eastAsia="zh-CN"/>
              </w:rPr>
              <w:t xml:space="preserve">According to MCG DRX cycle </w:t>
            </w:r>
          </w:p>
        </w:tc>
        <w:tc>
          <w:tcPr>
            <w:tcW w:w="1794" w:type="dxa"/>
            <w:shd w:val="clear" w:color="auto" w:fill="auto"/>
          </w:tcPr>
          <w:p w:rsidR="000932F5" w:rsidRPr="00CF4B0A" w:rsidRDefault="000932F5" w:rsidP="00CF4B0A">
            <w:pPr>
              <w:rPr>
                <w:lang w:val="en-US" w:eastAsia="zh-CN"/>
              </w:rPr>
            </w:pPr>
            <w:r w:rsidRPr="00CF4B0A">
              <w:rPr>
                <w:lang w:val="en-US" w:eastAsia="zh-CN"/>
              </w:rPr>
              <w:t>Non DRX</w:t>
            </w:r>
          </w:p>
        </w:tc>
      </w:tr>
      <w:tr w:rsidR="000932F5" w:rsidRPr="00CF4B0A" w:rsidTr="00CF4B0A">
        <w:tc>
          <w:tcPr>
            <w:tcW w:w="1793" w:type="dxa"/>
            <w:shd w:val="clear" w:color="auto" w:fill="auto"/>
          </w:tcPr>
          <w:p w:rsidR="000932F5" w:rsidRPr="00CF4B0A" w:rsidRDefault="000932F5" w:rsidP="00CF4B0A">
            <w:pPr>
              <w:rPr>
                <w:lang w:val="en-US" w:eastAsia="zh-CN"/>
              </w:rPr>
            </w:pPr>
            <w:r w:rsidRPr="00CF4B0A">
              <w:rPr>
                <w:lang w:val="en-US" w:eastAsia="zh-CN"/>
              </w:rPr>
              <w:t>Case C</w:t>
            </w:r>
          </w:p>
        </w:tc>
        <w:tc>
          <w:tcPr>
            <w:tcW w:w="1794" w:type="dxa"/>
            <w:shd w:val="clear" w:color="auto" w:fill="auto"/>
          </w:tcPr>
          <w:p w:rsidR="000932F5" w:rsidRPr="00CF4B0A" w:rsidRDefault="000932F5" w:rsidP="00CF4B0A">
            <w:pPr>
              <w:rPr>
                <w:lang w:val="en-US" w:eastAsia="zh-CN"/>
              </w:rPr>
            </w:pPr>
            <w:r w:rsidRPr="00CF4B0A">
              <w:rPr>
                <w:lang w:val="en-US" w:eastAsia="zh-CN"/>
              </w:rPr>
              <w:t>Off</w:t>
            </w:r>
            <w:r w:rsidR="000166E6" w:rsidRPr="00CF4B0A">
              <w:rPr>
                <w:lang w:val="en-US" w:eastAsia="zh-CN"/>
              </w:rPr>
              <w:t>, Any</w:t>
            </w:r>
          </w:p>
        </w:tc>
        <w:tc>
          <w:tcPr>
            <w:tcW w:w="1794" w:type="dxa"/>
            <w:shd w:val="clear" w:color="auto" w:fill="auto"/>
          </w:tcPr>
          <w:p w:rsidR="000932F5" w:rsidRPr="00CF4B0A" w:rsidRDefault="000932F5" w:rsidP="00CF4B0A">
            <w:pPr>
              <w:rPr>
                <w:lang w:val="en-US" w:eastAsia="zh-CN"/>
              </w:rPr>
            </w:pPr>
            <w:r w:rsidRPr="00CF4B0A">
              <w:rPr>
                <w:lang w:val="en-US" w:eastAsia="zh-CN"/>
              </w:rPr>
              <w:t>On</w:t>
            </w:r>
            <w:r w:rsidR="000166E6" w:rsidRPr="00CF4B0A">
              <w:rPr>
                <w:lang w:val="en-US" w:eastAsia="zh-CN"/>
              </w:rPr>
              <w:t>, Any</w:t>
            </w:r>
          </w:p>
        </w:tc>
        <w:tc>
          <w:tcPr>
            <w:tcW w:w="1794" w:type="dxa"/>
            <w:shd w:val="clear" w:color="auto" w:fill="auto"/>
          </w:tcPr>
          <w:p w:rsidR="000932F5" w:rsidRPr="00CF4B0A" w:rsidRDefault="000932F5" w:rsidP="00CF4B0A">
            <w:pPr>
              <w:rPr>
                <w:lang w:val="en-US" w:eastAsia="zh-CN"/>
              </w:rPr>
            </w:pPr>
            <w:r w:rsidRPr="00CF4B0A">
              <w:rPr>
                <w:lang w:val="en-US" w:eastAsia="zh-CN"/>
              </w:rPr>
              <w:t>Non DRX</w:t>
            </w:r>
          </w:p>
        </w:tc>
        <w:tc>
          <w:tcPr>
            <w:tcW w:w="1794" w:type="dxa"/>
            <w:shd w:val="clear" w:color="auto" w:fill="auto"/>
          </w:tcPr>
          <w:p w:rsidR="000932F5" w:rsidRPr="00CF4B0A" w:rsidRDefault="000932F5" w:rsidP="00CF4B0A">
            <w:pPr>
              <w:rPr>
                <w:lang w:val="en-US" w:eastAsia="zh-CN"/>
              </w:rPr>
            </w:pPr>
            <w:r w:rsidRPr="00CF4B0A">
              <w:rPr>
                <w:lang w:val="en-US" w:eastAsia="zh-CN"/>
              </w:rPr>
              <w:t>According to SCG DRX cycle</w:t>
            </w:r>
          </w:p>
        </w:tc>
      </w:tr>
      <w:tr w:rsidR="000932F5" w:rsidRPr="00CF4B0A" w:rsidTr="00CF4B0A">
        <w:tc>
          <w:tcPr>
            <w:tcW w:w="1793" w:type="dxa"/>
            <w:shd w:val="clear" w:color="auto" w:fill="auto"/>
          </w:tcPr>
          <w:p w:rsidR="000932F5" w:rsidRPr="00CF4B0A" w:rsidRDefault="000932F5" w:rsidP="00CF4B0A">
            <w:pPr>
              <w:rPr>
                <w:lang w:val="en-US" w:eastAsia="zh-CN"/>
              </w:rPr>
            </w:pPr>
            <w:r w:rsidRPr="00CF4B0A">
              <w:rPr>
                <w:lang w:val="en-US" w:eastAsia="zh-CN"/>
              </w:rPr>
              <w:t>Case D</w:t>
            </w:r>
            <w:r w:rsidR="000166E6" w:rsidRPr="00CF4B0A">
              <w:rPr>
                <w:lang w:val="en-US" w:eastAsia="zh-CN"/>
              </w:rPr>
              <w:t>1</w:t>
            </w:r>
          </w:p>
        </w:tc>
        <w:tc>
          <w:tcPr>
            <w:tcW w:w="1794" w:type="dxa"/>
            <w:shd w:val="clear" w:color="auto" w:fill="auto"/>
          </w:tcPr>
          <w:p w:rsidR="000932F5" w:rsidRPr="00CF4B0A" w:rsidRDefault="000932F5" w:rsidP="00CF4B0A">
            <w:pPr>
              <w:rPr>
                <w:lang w:val="en-US" w:eastAsia="zh-CN"/>
              </w:rPr>
            </w:pPr>
            <w:r w:rsidRPr="00CF4B0A">
              <w:rPr>
                <w:lang w:val="en-US" w:eastAsia="zh-CN"/>
              </w:rPr>
              <w:t>On</w:t>
            </w:r>
            <w:r w:rsidR="000166E6" w:rsidRPr="00CF4B0A">
              <w:rPr>
                <w:lang w:val="en-US" w:eastAsia="zh-CN"/>
              </w:rPr>
              <w:t>, ≤40ms</w:t>
            </w:r>
          </w:p>
        </w:tc>
        <w:tc>
          <w:tcPr>
            <w:tcW w:w="1794" w:type="dxa"/>
            <w:shd w:val="clear" w:color="auto" w:fill="auto"/>
          </w:tcPr>
          <w:p w:rsidR="000932F5" w:rsidRPr="00CF4B0A" w:rsidRDefault="000932F5" w:rsidP="00CF4B0A">
            <w:pPr>
              <w:rPr>
                <w:lang w:val="en-US" w:eastAsia="zh-CN"/>
              </w:rPr>
            </w:pPr>
            <w:r w:rsidRPr="00CF4B0A">
              <w:rPr>
                <w:lang w:val="en-US" w:eastAsia="zh-CN"/>
              </w:rPr>
              <w:t>On</w:t>
            </w:r>
            <w:r w:rsidR="000166E6" w:rsidRPr="00CF4B0A">
              <w:rPr>
                <w:lang w:val="en-US" w:eastAsia="zh-CN"/>
              </w:rPr>
              <w:t>, ≤40ms</w:t>
            </w:r>
          </w:p>
        </w:tc>
        <w:tc>
          <w:tcPr>
            <w:tcW w:w="1794" w:type="dxa"/>
            <w:shd w:val="clear" w:color="auto" w:fill="auto"/>
          </w:tcPr>
          <w:p w:rsidR="000932F5" w:rsidRPr="00CF4B0A" w:rsidRDefault="000932F5" w:rsidP="00CF4B0A">
            <w:pPr>
              <w:rPr>
                <w:lang w:val="en-US" w:eastAsia="zh-CN"/>
              </w:rPr>
            </w:pPr>
            <w:r w:rsidRPr="00CF4B0A">
              <w:rPr>
                <w:lang w:val="en-US" w:eastAsia="zh-CN"/>
              </w:rPr>
              <w:t>According to MCG DRX cycle</w:t>
            </w:r>
            <w:r w:rsidR="007E10E4" w:rsidRPr="00CF4B0A">
              <w:rPr>
                <w:vertAlign w:val="superscript"/>
                <w:lang w:val="en-US" w:eastAsia="zh-CN"/>
              </w:rPr>
              <w:t>Note 1</w:t>
            </w:r>
          </w:p>
        </w:tc>
        <w:tc>
          <w:tcPr>
            <w:tcW w:w="1794" w:type="dxa"/>
            <w:shd w:val="clear" w:color="auto" w:fill="auto"/>
          </w:tcPr>
          <w:p w:rsidR="000932F5" w:rsidRPr="00CF4B0A" w:rsidRDefault="000932F5" w:rsidP="00CF4B0A">
            <w:pPr>
              <w:rPr>
                <w:lang w:val="en-US" w:eastAsia="zh-CN"/>
              </w:rPr>
            </w:pPr>
            <w:r w:rsidRPr="00CF4B0A">
              <w:rPr>
                <w:lang w:val="en-US" w:eastAsia="zh-CN"/>
              </w:rPr>
              <w:t>According to SCG DRX cycle</w:t>
            </w:r>
            <w:r w:rsidR="007E10E4" w:rsidRPr="00CF4B0A">
              <w:rPr>
                <w:vertAlign w:val="superscript"/>
                <w:lang w:val="en-US" w:eastAsia="zh-CN"/>
              </w:rPr>
              <w:t xml:space="preserve"> Note 1</w:t>
            </w:r>
          </w:p>
        </w:tc>
      </w:tr>
      <w:tr w:rsidR="000166E6" w:rsidRPr="00CF4B0A" w:rsidTr="00CF4B0A">
        <w:tc>
          <w:tcPr>
            <w:tcW w:w="1793" w:type="dxa"/>
            <w:shd w:val="clear" w:color="auto" w:fill="auto"/>
          </w:tcPr>
          <w:p w:rsidR="000166E6" w:rsidRPr="00CF4B0A" w:rsidRDefault="000166E6" w:rsidP="000166E6">
            <w:pPr>
              <w:rPr>
                <w:lang w:val="en-US" w:eastAsia="zh-CN"/>
              </w:rPr>
            </w:pPr>
            <w:r w:rsidRPr="00CF4B0A">
              <w:rPr>
                <w:lang w:val="en-US" w:eastAsia="zh-CN"/>
              </w:rPr>
              <w:t>Case D2</w:t>
            </w:r>
          </w:p>
        </w:tc>
        <w:tc>
          <w:tcPr>
            <w:tcW w:w="1794" w:type="dxa"/>
            <w:shd w:val="clear" w:color="auto" w:fill="auto"/>
          </w:tcPr>
          <w:p w:rsidR="000166E6" w:rsidRPr="00CF4B0A" w:rsidRDefault="000166E6" w:rsidP="000166E6">
            <w:pPr>
              <w:rPr>
                <w:lang w:val="en-US" w:eastAsia="zh-CN"/>
              </w:rPr>
            </w:pPr>
            <w:r w:rsidRPr="00CF4B0A">
              <w:rPr>
                <w:lang w:val="en-US" w:eastAsia="zh-CN"/>
              </w:rPr>
              <w:t>On, &gt;40ms</w:t>
            </w:r>
          </w:p>
        </w:tc>
        <w:tc>
          <w:tcPr>
            <w:tcW w:w="1794" w:type="dxa"/>
            <w:shd w:val="clear" w:color="auto" w:fill="auto"/>
          </w:tcPr>
          <w:p w:rsidR="000166E6" w:rsidRPr="00CF4B0A" w:rsidRDefault="000166E6" w:rsidP="000166E6">
            <w:pPr>
              <w:rPr>
                <w:lang w:val="en-US" w:eastAsia="zh-CN"/>
              </w:rPr>
            </w:pPr>
            <w:r w:rsidRPr="00CF4B0A">
              <w:rPr>
                <w:lang w:val="en-US" w:eastAsia="zh-CN"/>
              </w:rPr>
              <w:t>On, ≤40ms</w:t>
            </w:r>
          </w:p>
        </w:tc>
        <w:tc>
          <w:tcPr>
            <w:tcW w:w="1794" w:type="dxa"/>
            <w:shd w:val="clear" w:color="auto" w:fill="auto"/>
          </w:tcPr>
          <w:p w:rsidR="000166E6" w:rsidRPr="00CF4B0A" w:rsidRDefault="000166E6" w:rsidP="000166E6">
            <w:pPr>
              <w:rPr>
                <w:lang w:val="en-US" w:eastAsia="zh-CN"/>
              </w:rPr>
            </w:pPr>
            <w:r w:rsidRPr="00CF4B0A">
              <w:rPr>
                <w:lang w:val="en-US" w:eastAsia="zh-CN"/>
              </w:rPr>
              <w:t>According to MCG DRX cycle</w:t>
            </w:r>
          </w:p>
        </w:tc>
        <w:tc>
          <w:tcPr>
            <w:tcW w:w="1794" w:type="dxa"/>
            <w:shd w:val="clear" w:color="auto" w:fill="auto"/>
          </w:tcPr>
          <w:p w:rsidR="000166E6" w:rsidRPr="00CF4B0A" w:rsidRDefault="000166E6" w:rsidP="000166E6">
            <w:pPr>
              <w:rPr>
                <w:lang w:val="en-US" w:eastAsia="zh-CN"/>
              </w:rPr>
            </w:pPr>
            <w:r w:rsidRPr="00CF4B0A">
              <w:rPr>
                <w:lang w:val="en-US" w:eastAsia="zh-CN"/>
              </w:rPr>
              <w:t>According to SCG DRX cycle</w:t>
            </w:r>
            <w:r w:rsidR="007E10E4" w:rsidRPr="00CF4B0A">
              <w:rPr>
                <w:vertAlign w:val="superscript"/>
                <w:lang w:val="en-US" w:eastAsia="zh-CN"/>
              </w:rPr>
              <w:t xml:space="preserve"> Note 1</w:t>
            </w:r>
          </w:p>
        </w:tc>
      </w:tr>
      <w:tr w:rsidR="000166E6" w:rsidRPr="00CF4B0A" w:rsidTr="00CF4B0A">
        <w:tc>
          <w:tcPr>
            <w:tcW w:w="1793" w:type="dxa"/>
            <w:shd w:val="clear" w:color="auto" w:fill="auto"/>
          </w:tcPr>
          <w:p w:rsidR="000166E6" w:rsidRPr="00CF4B0A" w:rsidRDefault="000166E6" w:rsidP="000166E6">
            <w:pPr>
              <w:rPr>
                <w:lang w:val="en-US" w:eastAsia="zh-CN"/>
              </w:rPr>
            </w:pPr>
            <w:r w:rsidRPr="00CF4B0A">
              <w:rPr>
                <w:lang w:val="en-US" w:eastAsia="zh-CN"/>
              </w:rPr>
              <w:t>Case D3</w:t>
            </w:r>
          </w:p>
        </w:tc>
        <w:tc>
          <w:tcPr>
            <w:tcW w:w="1794" w:type="dxa"/>
            <w:shd w:val="clear" w:color="auto" w:fill="auto"/>
          </w:tcPr>
          <w:p w:rsidR="000166E6" w:rsidRPr="00CF4B0A" w:rsidRDefault="000166E6" w:rsidP="000166E6">
            <w:pPr>
              <w:rPr>
                <w:lang w:val="en-US" w:eastAsia="zh-CN"/>
              </w:rPr>
            </w:pPr>
            <w:r w:rsidRPr="00CF4B0A">
              <w:rPr>
                <w:lang w:val="en-US" w:eastAsia="zh-CN"/>
              </w:rPr>
              <w:t>On, ≤40ms</w:t>
            </w:r>
          </w:p>
        </w:tc>
        <w:tc>
          <w:tcPr>
            <w:tcW w:w="1794" w:type="dxa"/>
            <w:shd w:val="clear" w:color="auto" w:fill="auto"/>
          </w:tcPr>
          <w:p w:rsidR="000166E6" w:rsidRPr="00CF4B0A" w:rsidRDefault="000166E6" w:rsidP="000166E6">
            <w:pPr>
              <w:rPr>
                <w:lang w:val="en-US" w:eastAsia="zh-CN"/>
              </w:rPr>
            </w:pPr>
            <w:r w:rsidRPr="00CF4B0A">
              <w:rPr>
                <w:lang w:val="en-US" w:eastAsia="zh-CN"/>
              </w:rPr>
              <w:t>On, &gt;40ms</w:t>
            </w:r>
          </w:p>
        </w:tc>
        <w:tc>
          <w:tcPr>
            <w:tcW w:w="1794" w:type="dxa"/>
            <w:shd w:val="clear" w:color="auto" w:fill="auto"/>
          </w:tcPr>
          <w:p w:rsidR="000166E6" w:rsidRPr="00CF4B0A" w:rsidRDefault="000166E6" w:rsidP="000166E6">
            <w:pPr>
              <w:rPr>
                <w:lang w:val="en-US" w:eastAsia="zh-CN"/>
              </w:rPr>
            </w:pPr>
            <w:r w:rsidRPr="00CF4B0A">
              <w:rPr>
                <w:lang w:val="en-US" w:eastAsia="zh-CN"/>
              </w:rPr>
              <w:t>According to MCG DRX cycle</w:t>
            </w:r>
            <w:r w:rsidR="007E10E4" w:rsidRPr="00CF4B0A">
              <w:rPr>
                <w:vertAlign w:val="superscript"/>
                <w:lang w:val="en-US" w:eastAsia="zh-CN"/>
              </w:rPr>
              <w:t xml:space="preserve"> Note 1</w:t>
            </w:r>
          </w:p>
        </w:tc>
        <w:tc>
          <w:tcPr>
            <w:tcW w:w="1794" w:type="dxa"/>
            <w:shd w:val="clear" w:color="auto" w:fill="auto"/>
          </w:tcPr>
          <w:p w:rsidR="000166E6" w:rsidRPr="00CF4B0A" w:rsidRDefault="000166E6" w:rsidP="000166E6">
            <w:pPr>
              <w:rPr>
                <w:lang w:val="en-US" w:eastAsia="zh-CN"/>
              </w:rPr>
            </w:pPr>
            <w:r w:rsidRPr="00CF4B0A">
              <w:rPr>
                <w:lang w:val="en-US" w:eastAsia="zh-CN"/>
              </w:rPr>
              <w:t>According to SCG DRX cycle</w:t>
            </w:r>
          </w:p>
        </w:tc>
      </w:tr>
      <w:tr w:rsidR="000166E6" w:rsidRPr="00CF4B0A" w:rsidTr="00CF4B0A">
        <w:tc>
          <w:tcPr>
            <w:tcW w:w="1793" w:type="dxa"/>
            <w:shd w:val="clear" w:color="auto" w:fill="auto"/>
          </w:tcPr>
          <w:p w:rsidR="000166E6" w:rsidRPr="00CF4B0A" w:rsidRDefault="000166E6" w:rsidP="000166E6">
            <w:pPr>
              <w:rPr>
                <w:lang w:val="en-US" w:eastAsia="zh-CN"/>
              </w:rPr>
            </w:pPr>
            <w:r w:rsidRPr="00CF4B0A">
              <w:rPr>
                <w:lang w:val="en-US" w:eastAsia="zh-CN"/>
              </w:rPr>
              <w:t>Case D4</w:t>
            </w:r>
          </w:p>
        </w:tc>
        <w:tc>
          <w:tcPr>
            <w:tcW w:w="1794" w:type="dxa"/>
            <w:shd w:val="clear" w:color="auto" w:fill="auto"/>
          </w:tcPr>
          <w:p w:rsidR="000166E6" w:rsidRPr="00CF4B0A" w:rsidRDefault="000166E6" w:rsidP="000166E6">
            <w:pPr>
              <w:rPr>
                <w:lang w:val="en-US" w:eastAsia="zh-CN"/>
              </w:rPr>
            </w:pPr>
            <w:r w:rsidRPr="00CF4B0A">
              <w:rPr>
                <w:lang w:val="en-US" w:eastAsia="zh-CN"/>
              </w:rPr>
              <w:t>On, &gt;40ms</w:t>
            </w:r>
          </w:p>
        </w:tc>
        <w:tc>
          <w:tcPr>
            <w:tcW w:w="1794" w:type="dxa"/>
            <w:shd w:val="clear" w:color="auto" w:fill="auto"/>
          </w:tcPr>
          <w:p w:rsidR="000166E6" w:rsidRPr="00CF4B0A" w:rsidRDefault="000166E6" w:rsidP="000166E6">
            <w:pPr>
              <w:rPr>
                <w:lang w:val="en-US" w:eastAsia="zh-CN"/>
              </w:rPr>
            </w:pPr>
            <w:r w:rsidRPr="00CF4B0A">
              <w:rPr>
                <w:lang w:val="en-US" w:eastAsia="zh-CN"/>
              </w:rPr>
              <w:t>On, &gt;40ms</w:t>
            </w:r>
          </w:p>
        </w:tc>
        <w:tc>
          <w:tcPr>
            <w:tcW w:w="3588" w:type="dxa"/>
            <w:gridSpan w:val="2"/>
            <w:shd w:val="clear" w:color="auto" w:fill="auto"/>
          </w:tcPr>
          <w:p w:rsidR="000166E6" w:rsidRPr="00CF4B0A" w:rsidRDefault="000166E6" w:rsidP="000166E6">
            <w:pPr>
              <w:rPr>
                <w:lang w:val="en-US" w:eastAsia="zh-CN"/>
              </w:rPr>
            </w:pPr>
            <w:r w:rsidRPr="00CF4B0A">
              <w:rPr>
                <w:lang w:val="en-US" w:eastAsia="zh-CN"/>
              </w:rPr>
              <w:t>According to max(MCG DRX Cycle, SCG DRX cycle)</w:t>
            </w:r>
          </w:p>
        </w:tc>
      </w:tr>
      <w:tr w:rsidR="007E10E4" w:rsidRPr="00CF4B0A" w:rsidTr="00CF4B0A">
        <w:tc>
          <w:tcPr>
            <w:tcW w:w="8969" w:type="dxa"/>
            <w:gridSpan w:val="5"/>
            <w:shd w:val="clear" w:color="auto" w:fill="auto"/>
          </w:tcPr>
          <w:p w:rsidR="007E10E4" w:rsidRPr="00CF4B0A" w:rsidRDefault="007E10E4" w:rsidP="000166E6">
            <w:pPr>
              <w:rPr>
                <w:lang w:val="en-US" w:eastAsia="zh-CN"/>
              </w:rPr>
            </w:pPr>
            <w:r w:rsidRPr="00CF4B0A">
              <w:rPr>
                <w:vertAlign w:val="superscript"/>
                <w:lang w:val="en-US" w:eastAsia="zh-CN"/>
              </w:rPr>
              <w:t>Note 1</w:t>
            </w:r>
            <w:r w:rsidRPr="00CF4B0A">
              <w:rPr>
                <w:lang w:val="en-US" w:eastAsia="zh-CN"/>
              </w:rPr>
              <w:t>:Requirements similar to non DRX requirements</w:t>
            </w:r>
          </w:p>
        </w:tc>
      </w:tr>
    </w:tbl>
    <w:p w:rsidR="000166E6" w:rsidRPr="00F228A6" w:rsidRDefault="000166E6" w:rsidP="000166E6">
      <w:pPr>
        <w:rPr>
          <w:b/>
          <w:lang w:val="en-US" w:eastAsia="zh-CN"/>
        </w:rPr>
      </w:pPr>
      <w:r>
        <w:rPr>
          <w:b/>
          <w:lang w:val="en-US" w:eastAsia="zh-CN"/>
        </w:rPr>
        <w:t>Table 2 : Proposed DRX requirements for inter-frequency/inter RAT measurements</w:t>
      </w:r>
    </w:p>
    <w:p w:rsidR="000932F5" w:rsidRDefault="000166E6" w:rsidP="002B1082">
      <w:pPr>
        <w:rPr>
          <w:lang w:val="en-US" w:eastAsia="zh-CN"/>
        </w:rPr>
      </w:pPr>
      <w:r>
        <w:rPr>
          <w:lang w:val="en-US" w:eastAsia="zh-CN"/>
        </w:rPr>
        <w:t xml:space="preserve">The general rule in table 2 is that the UE follows the configured MCG DRX cycle and state for LTE measurements and the SCG DRX cycle and state for NR measurements, with </w:t>
      </w:r>
      <w:r w:rsidR="007E10E4">
        <w:rPr>
          <w:lang w:val="en-US" w:eastAsia="zh-CN"/>
        </w:rPr>
        <w:t>an</w:t>
      </w:r>
      <w:r>
        <w:rPr>
          <w:lang w:val="en-US" w:eastAsia="zh-CN"/>
        </w:rPr>
        <w:t xml:space="preserve"> exception</w:t>
      </w:r>
      <w:r w:rsidR="007E10E4">
        <w:rPr>
          <w:lang w:val="en-US" w:eastAsia="zh-CN"/>
        </w:rPr>
        <w:t xml:space="preserve"> only for case D4, where both MCG and SCG DRX are on with configured DRX cycles of &gt;40ms.</w:t>
      </w:r>
    </w:p>
    <w:p w:rsidR="007E10E4" w:rsidRDefault="007E10E4" w:rsidP="002B1082">
      <w:pPr>
        <w:rPr>
          <w:lang w:val="en-US" w:eastAsia="zh-CN"/>
        </w:rPr>
      </w:pPr>
      <w:r>
        <w:rPr>
          <w:lang w:val="en-US" w:eastAsia="zh-CN"/>
        </w:rPr>
        <w:t>We provide CRs according to the proposals for both 36.133 and 38.133.</w:t>
      </w:r>
    </w:p>
    <w:p w:rsidR="005813AA" w:rsidRDefault="005813AA" w:rsidP="005813AA">
      <w:pPr>
        <w:pStyle w:val="Heading1"/>
        <w:jc w:val="both"/>
        <w:rPr>
          <w:rFonts w:eastAsia="SimSun"/>
          <w:lang w:val="en-US" w:eastAsia="zh-CN"/>
        </w:rPr>
      </w:pPr>
      <w:r>
        <w:rPr>
          <w:rFonts w:eastAsia="SimSun"/>
          <w:lang w:val="en-US" w:eastAsia="zh-CN"/>
        </w:rPr>
        <w:t>Conclusion</w:t>
      </w:r>
    </w:p>
    <w:p w:rsidR="007E10E4" w:rsidRPr="007E10E4" w:rsidRDefault="007E10E4" w:rsidP="007E10E4">
      <w:pPr>
        <w:rPr>
          <w:lang w:val="en-US" w:eastAsia="zh-CN"/>
        </w:rPr>
      </w:pPr>
      <w:r>
        <w:rPr>
          <w:lang w:val="en-US" w:eastAsia="zh-CN"/>
        </w:rPr>
        <w:t>In this contribution we discuss RRM requirements when different DRX cycle and/or state is used in MCG and SCG and make the following proposals for requirements</w:t>
      </w:r>
    </w:p>
    <w:p w:rsidR="007E10E4" w:rsidRPr="00F228A6" w:rsidRDefault="007E10E4" w:rsidP="007E10E4">
      <w:pPr>
        <w:rPr>
          <w:b/>
          <w:lang w:val="en-US" w:eastAsia="zh-CN"/>
        </w:rPr>
      </w:pPr>
      <w:r>
        <w:rPr>
          <w:b/>
          <w:lang w:val="en-US" w:eastAsia="zh-CN"/>
        </w:rPr>
        <w:lastRenderedPageBreak/>
        <w:t>Proposal 1 : RRM requirements for intra</w:t>
      </w:r>
      <w:r w:rsidR="00090A51">
        <w:rPr>
          <w:b/>
          <w:lang w:val="en-US" w:eastAsia="zh-CN"/>
        </w:rPr>
        <w:t>-frequency</w:t>
      </w:r>
      <w:r>
        <w:rPr>
          <w:b/>
          <w:lang w:val="en-US" w:eastAsia="zh-CN"/>
        </w:rPr>
        <w:t xml:space="preserve"> MCG and SCG is according to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7E10E4" w:rsidRPr="00CF4B0A" w:rsidTr="00CF4B0A">
        <w:tc>
          <w:tcPr>
            <w:tcW w:w="1793" w:type="dxa"/>
            <w:shd w:val="clear" w:color="auto" w:fill="auto"/>
          </w:tcPr>
          <w:p w:rsidR="007E10E4" w:rsidRPr="00CF4B0A" w:rsidRDefault="007E10E4" w:rsidP="00CF4B0A">
            <w:pPr>
              <w:rPr>
                <w:lang w:val="en-US" w:eastAsia="zh-CN"/>
              </w:rPr>
            </w:pPr>
          </w:p>
        </w:tc>
        <w:tc>
          <w:tcPr>
            <w:tcW w:w="3588" w:type="dxa"/>
            <w:gridSpan w:val="2"/>
            <w:shd w:val="clear" w:color="auto" w:fill="auto"/>
          </w:tcPr>
          <w:p w:rsidR="007E10E4" w:rsidRPr="00CF4B0A" w:rsidRDefault="007E10E4" w:rsidP="00CF4B0A">
            <w:pPr>
              <w:rPr>
                <w:lang w:val="en-US" w:eastAsia="zh-CN"/>
              </w:rPr>
            </w:pPr>
            <w:r w:rsidRPr="00CF4B0A">
              <w:rPr>
                <w:lang w:val="en-US" w:eastAsia="zh-CN"/>
              </w:rPr>
              <w:t>DRX on/off</w:t>
            </w:r>
          </w:p>
        </w:tc>
        <w:tc>
          <w:tcPr>
            <w:tcW w:w="3588" w:type="dxa"/>
            <w:gridSpan w:val="2"/>
            <w:shd w:val="clear" w:color="auto" w:fill="auto"/>
          </w:tcPr>
          <w:p w:rsidR="007E10E4" w:rsidRPr="00CF4B0A" w:rsidRDefault="007E10E4" w:rsidP="00CF4B0A">
            <w:pPr>
              <w:rPr>
                <w:lang w:val="en-US" w:eastAsia="zh-CN"/>
              </w:rPr>
            </w:pPr>
            <w:r w:rsidRPr="00CF4B0A">
              <w:rPr>
                <w:lang w:val="en-US" w:eastAsia="zh-CN"/>
              </w:rPr>
              <w:t>Intra requirements</w:t>
            </w:r>
          </w:p>
        </w:tc>
      </w:tr>
      <w:tr w:rsidR="007E10E4" w:rsidRPr="00CF4B0A" w:rsidTr="00CF4B0A">
        <w:tc>
          <w:tcPr>
            <w:tcW w:w="1793" w:type="dxa"/>
            <w:shd w:val="clear" w:color="auto" w:fill="auto"/>
          </w:tcPr>
          <w:p w:rsidR="007E10E4" w:rsidRPr="00CF4B0A" w:rsidRDefault="007E10E4" w:rsidP="00CF4B0A">
            <w:pPr>
              <w:rPr>
                <w:lang w:val="en-US" w:eastAsia="zh-CN"/>
              </w:rPr>
            </w:pPr>
          </w:p>
        </w:tc>
        <w:tc>
          <w:tcPr>
            <w:tcW w:w="1794" w:type="dxa"/>
            <w:shd w:val="clear" w:color="auto" w:fill="auto"/>
          </w:tcPr>
          <w:p w:rsidR="007E10E4" w:rsidRPr="00CF4B0A" w:rsidRDefault="007E10E4" w:rsidP="00CF4B0A">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7E10E4" w:rsidRPr="00CF4B0A" w:rsidRDefault="007E10E4" w:rsidP="00CF4B0A">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7E10E4" w:rsidRPr="00CF4B0A" w:rsidRDefault="007E10E4" w:rsidP="00CF4B0A">
            <w:pPr>
              <w:rPr>
                <w:lang w:val="en-US" w:eastAsia="zh-CN"/>
              </w:rPr>
            </w:pPr>
            <w:r w:rsidRPr="00CF4B0A">
              <w:rPr>
                <w:lang w:val="en-US" w:eastAsia="zh-CN"/>
              </w:rPr>
              <w:t>LTE</w:t>
            </w:r>
          </w:p>
        </w:tc>
        <w:tc>
          <w:tcPr>
            <w:tcW w:w="1794" w:type="dxa"/>
            <w:shd w:val="clear" w:color="auto" w:fill="auto"/>
          </w:tcPr>
          <w:p w:rsidR="007E10E4" w:rsidRPr="00CF4B0A" w:rsidRDefault="007E10E4" w:rsidP="00CF4B0A">
            <w:pPr>
              <w:rPr>
                <w:lang w:val="en-US" w:eastAsia="zh-CN"/>
              </w:rPr>
            </w:pPr>
            <w:r w:rsidRPr="00CF4B0A">
              <w:rPr>
                <w:lang w:val="en-US" w:eastAsia="zh-CN"/>
              </w:rPr>
              <w:t>NR</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A</w:t>
            </w:r>
          </w:p>
        </w:tc>
        <w:tc>
          <w:tcPr>
            <w:tcW w:w="1794" w:type="dxa"/>
            <w:shd w:val="clear" w:color="auto" w:fill="auto"/>
          </w:tcPr>
          <w:p w:rsidR="007E10E4" w:rsidRPr="00CF4B0A" w:rsidRDefault="007E10E4" w:rsidP="00CF4B0A">
            <w:pPr>
              <w:rPr>
                <w:lang w:val="en-US" w:eastAsia="zh-CN"/>
              </w:rPr>
            </w:pPr>
            <w:r w:rsidRPr="00CF4B0A">
              <w:rPr>
                <w:lang w:val="en-US" w:eastAsia="zh-CN"/>
              </w:rPr>
              <w:t xml:space="preserve">Off </w:t>
            </w:r>
          </w:p>
        </w:tc>
        <w:tc>
          <w:tcPr>
            <w:tcW w:w="1794" w:type="dxa"/>
            <w:shd w:val="clear" w:color="auto" w:fill="auto"/>
          </w:tcPr>
          <w:p w:rsidR="007E10E4" w:rsidRPr="00CF4B0A" w:rsidRDefault="007E10E4" w:rsidP="00CF4B0A">
            <w:pPr>
              <w:rPr>
                <w:lang w:val="en-US" w:eastAsia="zh-CN"/>
              </w:rPr>
            </w:pPr>
            <w:r w:rsidRPr="00CF4B0A">
              <w:rPr>
                <w:lang w:val="en-US" w:eastAsia="zh-CN"/>
              </w:rPr>
              <w:t>Off</w:t>
            </w:r>
          </w:p>
        </w:tc>
        <w:tc>
          <w:tcPr>
            <w:tcW w:w="1794" w:type="dxa"/>
            <w:shd w:val="clear" w:color="auto" w:fill="auto"/>
          </w:tcPr>
          <w:p w:rsidR="007E10E4" w:rsidRPr="00CF4B0A" w:rsidRDefault="007E10E4" w:rsidP="00CF4B0A">
            <w:pPr>
              <w:rPr>
                <w:lang w:val="en-US" w:eastAsia="zh-CN"/>
              </w:rPr>
            </w:pPr>
            <w:r w:rsidRPr="00CF4B0A">
              <w:rPr>
                <w:lang w:val="en-US" w:eastAsia="zh-CN"/>
              </w:rPr>
              <w:t>Non DRX</w:t>
            </w:r>
          </w:p>
        </w:tc>
        <w:tc>
          <w:tcPr>
            <w:tcW w:w="1794" w:type="dxa"/>
            <w:shd w:val="clear" w:color="auto" w:fill="auto"/>
          </w:tcPr>
          <w:p w:rsidR="007E10E4" w:rsidRPr="00CF4B0A" w:rsidRDefault="007E10E4" w:rsidP="00CF4B0A">
            <w:pPr>
              <w:rPr>
                <w:lang w:val="en-US" w:eastAsia="zh-CN"/>
              </w:rPr>
            </w:pPr>
            <w:r w:rsidRPr="00CF4B0A">
              <w:rPr>
                <w:lang w:val="en-US" w:eastAsia="zh-CN"/>
              </w:rPr>
              <w:t>Non DRX</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B</w:t>
            </w:r>
          </w:p>
        </w:tc>
        <w:tc>
          <w:tcPr>
            <w:tcW w:w="1794" w:type="dxa"/>
            <w:shd w:val="clear" w:color="auto" w:fill="auto"/>
          </w:tcPr>
          <w:p w:rsidR="007E10E4" w:rsidRPr="00CF4B0A" w:rsidRDefault="007E10E4" w:rsidP="00CF4B0A">
            <w:pPr>
              <w:rPr>
                <w:lang w:val="en-US" w:eastAsia="zh-CN"/>
              </w:rPr>
            </w:pPr>
            <w:r w:rsidRPr="00CF4B0A">
              <w:rPr>
                <w:lang w:val="en-US" w:eastAsia="zh-CN"/>
              </w:rPr>
              <w:t>On</w:t>
            </w:r>
          </w:p>
        </w:tc>
        <w:tc>
          <w:tcPr>
            <w:tcW w:w="1794" w:type="dxa"/>
            <w:shd w:val="clear" w:color="auto" w:fill="auto"/>
          </w:tcPr>
          <w:p w:rsidR="007E10E4" w:rsidRPr="00CF4B0A" w:rsidRDefault="007E10E4" w:rsidP="00CF4B0A">
            <w:pPr>
              <w:rPr>
                <w:lang w:val="en-US" w:eastAsia="zh-CN"/>
              </w:rPr>
            </w:pPr>
            <w:r w:rsidRPr="00CF4B0A">
              <w:rPr>
                <w:lang w:val="en-US" w:eastAsia="zh-CN"/>
              </w:rPr>
              <w:t>Off</w:t>
            </w:r>
          </w:p>
        </w:tc>
        <w:tc>
          <w:tcPr>
            <w:tcW w:w="1794" w:type="dxa"/>
            <w:shd w:val="clear" w:color="auto" w:fill="auto"/>
          </w:tcPr>
          <w:p w:rsidR="007E10E4" w:rsidRPr="00CF4B0A" w:rsidRDefault="007E10E4" w:rsidP="00CF4B0A">
            <w:pPr>
              <w:rPr>
                <w:lang w:val="en-US" w:eastAsia="zh-CN"/>
              </w:rPr>
            </w:pPr>
            <w:r w:rsidRPr="00CF4B0A">
              <w:rPr>
                <w:lang w:val="en-US" w:eastAsia="zh-CN"/>
              </w:rPr>
              <w:t xml:space="preserve">According to MCG DRX cycle </w:t>
            </w:r>
          </w:p>
        </w:tc>
        <w:tc>
          <w:tcPr>
            <w:tcW w:w="1794" w:type="dxa"/>
            <w:shd w:val="clear" w:color="auto" w:fill="auto"/>
          </w:tcPr>
          <w:p w:rsidR="007E10E4" w:rsidRPr="00CF4B0A" w:rsidRDefault="007E10E4" w:rsidP="00CF4B0A">
            <w:pPr>
              <w:rPr>
                <w:lang w:val="en-US" w:eastAsia="zh-CN"/>
              </w:rPr>
            </w:pPr>
            <w:r w:rsidRPr="00CF4B0A">
              <w:rPr>
                <w:lang w:val="en-US" w:eastAsia="zh-CN"/>
              </w:rPr>
              <w:t>Non DRX</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C</w:t>
            </w:r>
          </w:p>
        </w:tc>
        <w:tc>
          <w:tcPr>
            <w:tcW w:w="1794" w:type="dxa"/>
            <w:shd w:val="clear" w:color="auto" w:fill="auto"/>
          </w:tcPr>
          <w:p w:rsidR="007E10E4" w:rsidRPr="00CF4B0A" w:rsidRDefault="007E10E4" w:rsidP="00CF4B0A">
            <w:pPr>
              <w:rPr>
                <w:lang w:val="en-US" w:eastAsia="zh-CN"/>
              </w:rPr>
            </w:pPr>
            <w:r w:rsidRPr="00CF4B0A">
              <w:rPr>
                <w:lang w:val="en-US" w:eastAsia="zh-CN"/>
              </w:rPr>
              <w:t>Off</w:t>
            </w:r>
          </w:p>
        </w:tc>
        <w:tc>
          <w:tcPr>
            <w:tcW w:w="1794" w:type="dxa"/>
            <w:shd w:val="clear" w:color="auto" w:fill="auto"/>
          </w:tcPr>
          <w:p w:rsidR="007E10E4" w:rsidRPr="00CF4B0A" w:rsidRDefault="007E10E4" w:rsidP="00CF4B0A">
            <w:pPr>
              <w:rPr>
                <w:lang w:val="en-US" w:eastAsia="zh-CN"/>
              </w:rPr>
            </w:pPr>
            <w:r w:rsidRPr="00CF4B0A">
              <w:rPr>
                <w:lang w:val="en-US" w:eastAsia="zh-CN"/>
              </w:rPr>
              <w:t>On</w:t>
            </w:r>
          </w:p>
        </w:tc>
        <w:tc>
          <w:tcPr>
            <w:tcW w:w="1794" w:type="dxa"/>
            <w:shd w:val="clear" w:color="auto" w:fill="auto"/>
          </w:tcPr>
          <w:p w:rsidR="007E10E4" w:rsidRPr="00CF4B0A" w:rsidRDefault="007E10E4" w:rsidP="00CF4B0A">
            <w:pPr>
              <w:rPr>
                <w:lang w:val="en-US" w:eastAsia="zh-CN"/>
              </w:rPr>
            </w:pPr>
            <w:r w:rsidRPr="00CF4B0A">
              <w:rPr>
                <w:lang w:val="en-US" w:eastAsia="zh-CN"/>
              </w:rPr>
              <w:t>Non DRX</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SCG DRX cycle</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D</w:t>
            </w:r>
          </w:p>
        </w:tc>
        <w:tc>
          <w:tcPr>
            <w:tcW w:w="1794" w:type="dxa"/>
            <w:shd w:val="clear" w:color="auto" w:fill="auto"/>
          </w:tcPr>
          <w:p w:rsidR="007E10E4" w:rsidRPr="00CF4B0A" w:rsidRDefault="007E10E4" w:rsidP="00CF4B0A">
            <w:pPr>
              <w:rPr>
                <w:lang w:val="en-US" w:eastAsia="zh-CN"/>
              </w:rPr>
            </w:pPr>
            <w:r w:rsidRPr="00CF4B0A">
              <w:rPr>
                <w:lang w:val="en-US" w:eastAsia="zh-CN"/>
              </w:rPr>
              <w:t>On</w:t>
            </w:r>
          </w:p>
        </w:tc>
        <w:tc>
          <w:tcPr>
            <w:tcW w:w="1794" w:type="dxa"/>
            <w:shd w:val="clear" w:color="auto" w:fill="auto"/>
          </w:tcPr>
          <w:p w:rsidR="007E10E4" w:rsidRPr="00CF4B0A" w:rsidRDefault="007E10E4" w:rsidP="00CF4B0A">
            <w:pPr>
              <w:rPr>
                <w:lang w:val="en-US" w:eastAsia="zh-CN"/>
              </w:rPr>
            </w:pPr>
            <w:r w:rsidRPr="00CF4B0A">
              <w:rPr>
                <w:lang w:val="en-US" w:eastAsia="zh-CN"/>
              </w:rPr>
              <w:t>On</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MCG DRX cycle</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SCG DRX cycle</w:t>
            </w:r>
          </w:p>
        </w:tc>
      </w:tr>
    </w:tbl>
    <w:p w:rsidR="007E10E4" w:rsidRPr="00F228A6" w:rsidRDefault="007E10E4" w:rsidP="007E10E4">
      <w:pPr>
        <w:jc w:val="center"/>
        <w:rPr>
          <w:b/>
          <w:lang w:val="en-US" w:eastAsia="zh-CN"/>
        </w:rPr>
      </w:pPr>
      <w:r>
        <w:rPr>
          <w:b/>
          <w:lang w:val="en-US" w:eastAsia="zh-CN"/>
        </w:rPr>
        <w:t>Table 1 : Proposed DRX requirements for MCG and SCG intra-frequency measurements</w:t>
      </w:r>
    </w:p>
    <w:p w:rsidR="007E10E4" w:rsidRPr="007E10E4" w:rsidRDefault="007E10E4" w:rsidP="007E10E4">
      <w:pPr>
        <w:rPr>
          <w:b/>
          <w:lang w:val="en-US" w:eastAsia="zh-CN"/>
        </w:rPr>
      </w:pPr>
      <w:r w:rsidRPr="007E10E4">
        <w:rPr>
          <w:b/>
          <w:lang w:val="en-US" w:eastAsia="zh-CN"/>
        </w:rPr>
        <w:t xml:space="preserve">Proposal 2: </w:t>
      </w:r>
      <w:r w:rsidRPr="007E10E4">
        <w:rPr>
          <w:b/>
          <w:lang w:val="en-US"/>
        </w:rPr>
        <w:t>For RLM and BFD in DRX mode the same principle as proposal 1 is followed</w:t>
      </w:r>
    </w:p>
    <w:p w:rsidR="007E10E4" w:rsidRPr="00F228A6" w:rsidRDefault="007E10E4" w:rsidP="007E10E4">
      <w:pPr>
        <w:rPr>
          <w:b/>
          <w:lang w:val="en-US" w:eastAsia="zh-CN"/>
        </w:rPr>
      </w:pPr>
      <w:r>
        <w:rPr>
          <w:b/>
          <w:lang w:val="en-US" w:eastAsia="zh-CN"/>
        </w:rPr>
        <w:t>Proposal 3 : RRM requirements for  interfrequency/interRAT is according to 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1794"/>
        <w:gridCol w:w="1794"/>
        <w:gridCol w:w="1794"/>
        <w:gridCol w:w="1794"/>
      </w:tblGrid>
      <w:tr w:rsidR="007E10E4" w:rsidRPr="00CF4B0A" w:rsidTr="00CF4B0A">
        <w:tc>
          <w:tcPr>
            <w:tcW w:w="1793" w:type="dxa"/>
            <w:shd w:val="clear" w:color="auto" w:fill="auto"/>
          </w:tcPr>
          <w:p w:rsidR="007E10E4" w:rsidRPr="00CF4B0A" w:rsidRDefault="007E10E4" w:rsidP="00CF4B0A">
            <w:pPr>
              <w:rPr>
                <w:lang w:val="en-US" w:eastAsia="zh-CN"/>
              </w:rPr>
            </w:pPr>
          </w:p>
        </w:tc>
        <w:tc>
          <w:tcPr>
            <w:tcW w:w="3588" w:type="dxa"/>
            <w:gridSpan w:val="2"/>
            <w:shd w:val="clear" w:color="auto" w:fill="auto"/>
          </w:tcPr>
          <w:p w:rsidR="007E10E4" w:rsidRPr="00CF4B0A" w:rsidRDefault="007E10E4" w:rsidP="00CF4B0A">
            <w:pPr>
              <w:rPr>
                <w:lang w:val="en-US" w:eastAsia="zh-CN"/>
              </w:rPr>
            </w:pPr>
            <w:r w:rsidRPr="00CF4B0A">
              <w:rPr>
                <w:lang w:val="en-US" w:eastAsia="zh-CN"/>
              </w:rPr>
              <w:t>DRX on/off, DRX Cycle</w:t>
            </w:r>
          </w:p>
        </w:tc>
        <w:tc>
          <w:tcPr>
            <w:tcW w:w="3588" w:type="dxa"/>
            <w:gridSpan w:val="2"/>
            <w:shd w:val="clear" w:color="auto" w:fill="auto"/>
          </w:tcPr>
          <w:p w:rsidR="007E10E4" w:rsidRPr="00CF4B0A" w:rsidRDefault="007E10E4" w:rsidP="00CF4B0A">
            <w:pPr>
              <w:rPr>
                <w:lang w:val="en-US" w:eastAsia="zh-CN"/>
              </w:rPr>
            </w:pPr>
            <w:r w:rsidRPr="00CF4B0A">
              <w:rPr>
                <w:lang w:val="en-US" w:eastAsia="zh-CN"/>
              </w:rPr>
              <w:t>Interfrequency/inter RAT</w:t>
            </w:r>
          </w:p>
        </w:tc>
      </w:tr>
      <w:tr w:rsidR="007E10E4" w:rsidRPr="00CF4B0A" w:rsidTr="00CF4B0A">
        <w:tc>
          <w:tcPr>
            <w:tcW w:w="1793" w:type="dxa"/>
            <w:shd w:val="clear" w:color="auto" w:fill="auto"/>
          </w:tcPr>
          <w:p w:rsidR="007E10E4" w:rsidRPr="00CF4B0A" w:rsidRDefault="007E10E4" w:rsidP="00CF4B0A">
            <w:pPr>
              <w:rPr>
                <w:lang w:val="en-US" w:eastAsia="zh-CN"/>
              </w:rPr>
            </w:pPr>
          </w:p>
        </w:tc>
        <w:tc>
          <w:tcPr>
            <w:tcW w:w="1794" w:type="dxa"/>
            <w:shd w:val="clear" w:color="auto" w:fill="auto"/>
          </w:tcPr>
          <w:p w:rsidR="007E10E4" w:rsidRPr="00CF4B0A" w:rsidRDefault="007E10E4" w:rsidP="00CF4B0A">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7E10E4" w:rsidRPr="00CF4B0A" w:rsidRDefault="007E10E4" w:rsidP="00CF4B0A">
            <w:pPr>
              <w:rPr>
                <w:lang w:val="en-US" w:eastAsia="zh-CN"/>
              </w:rPr>
            </w:pPr>
            <w:r w:rsidRPr="00CF4B0A">
              <w:rPr>
                <w:lang w:val="en-US" w:eastAsia="zh-CN"/>
              </w:rPr>
              <w:t>DRX</w:t>
            </w:r>
            <w:r w:rsidRPr="00CF4B0A">
              <w:rPr>
                <w:vertAlign w:val="subscript"/>
                <w:lang w:val="en-US" w:eastAsia="zh-CN"/>
              </w:rPr>
              <w:t>MN</w:t>
            </w:r>
          </w:p>
        </w:tc>
        <w:tc>
          <w:tcPr>
            <w:tcW w:w="1794" w:type="dxa"/>
            <w:shd w:val="clear" w:color="auto" w:fill="auto"/>
          </w:tcPr>
          <w:p w:rsidR="007E10E4" w:rsidRPr="00CF4B0A" w:rsidRDefault="007E10E4" w:rsidP="00CF4B0A">
            <w:pPr>
              <w:rPr>
                <w:lang w:val="en-US" w:eastAsia="zh-CN"/>
              </w:rPr>
            </w:pPr>
            <w:r w:rsidRPr="00CF4B0A">
              <w:rPr>
                <w:lang w:val="en-US" w:eastAsia="zh-CN"/>
              </w:rPr>
              <w:t>LTE</w:t>
            </w:r>
          </w:p>
        </w:tc>
        <w:tc>
          <w:tcPr>
            <w:tcW w:w="1794" w:type="dxa"/>
            <w:shd w:val="clear" w:color="auto" w:fill="auto"/>
          </w:tcPr>
          <w:p w:rsidR="007E10E4" w:rsidRPr="00CF4B0A" w:rsidRDefault="007E10E4" w:rsidP="00CF4B0A">
            <w:pPr>
              <w:rPr>
                <w:lang w:val="en-US" w:eastAsia="zh-CN"/>
              </w:rPr>
            </w:pPr>
            <w:r w:rsidRPr="00CF4B0A">
              <w:rPr>
                <w:lang w:val="en-US" w:eastAsia="zh-CN"/>
              </w:rPr>
              <w:t>NR</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A</w:t>
            </w:r>
          </w:p>
        </w:tc>
        <w:tc>
          <w:tcPr>
            <w:tcW w:w="1794" w:type="dxa"/>
            <w:shd w:val="clear" w:color="auto" w:fill="auto"/>
          </w:tcPr>
          <w:p w:rsidR="007E10E4" w:rsidRPr="00CF4B0A" w:rsidRDefault="007E10E4" w:rsidP="00CF4B0A">
            <w:pPr>
              <w:rPr>
                <w:lang w:val="en-US" w:eastAsia="zh-CN"/>
              </w:rPr>
            </w:pPr>
            <w:r w:rsidRPr="00CF4B0A">
              <w:rPr>
                <w:lang w:val="en-US" w:eastAsia="zh-CN"/>
              </w:rPr>
              <w:t>Off, Any</w:t>
            </w:r>
          </w:p>
        </w:tc>
        <w:tc>
          <w:tcPr>
            <w:tcW w:w="1794" w:type="dxa"/>
            <w:shd w:val="clear" w:color="auto" w:fill="auto"/>
          </w:tcPr>
          <w:p w:rsidR="007E10E4" w:rsidRPr="00CF4B0A" w:rsidRDefault="007E10E4" w:rsidP="00CF4B0A">
            <w:pPr>
              <w:rPr>
                <w:lang w:val="en-US" w:eastAsia="zh-CN"/>
              </w:rPr>
            </w:pPr>
            <w:r w:rsidRPr="00CF4B0A">
              <w:rPr>
                <w:lang w:val="en-US" w:eastAsia="zh-CN"/>
              </w:rPr>
              <w:t>Off, Any</w:t>
            </w:r>
          </w:p>
        </w:tc>
        <w:tc>
          <w:tcPr>
            <w:tcW w:w="1794" w:type="dxa"/>
            <w:shd w:val="clear" w:color="auto" w:fill="auto"/>
          </w:tcPr>
          <w:p w:rsidR="007E10E4" w:rsidRPr="00CF4B0A" w:rsidRDefault="007E10E4" w:rsidP="00CF4B0A">
            <w:pPr>
              <w:rPr>
                <w:lang w:val="en-US" w:eastAsia="zh-CN"/>
              </w:rPr>
            </w:pPr>
            <w:r w:rsidRPr="00CF4B0A">
              <w:rPr>
                <w:lang w:val="en-US" w:eastAsia="zh-CN"/>
              </w:rPr>
              <w:t>Non DRX</w:t>
            </w:r>
          </w:p>
        </w:tc>
        <w:tc>
          <w:tcPr>
            <w:tcW w:w="1794" w:type="dxa"/>
            <w:shd w:val="clear" w:color="auto" w:fill="auto"/>
          </w:tcPr>
          <w:p w:rsidR="007E10E4" w:rsidRPr="00CF4B0A" w:rsidRDefault="007E10E4" w:rsidP="00CF4B0A">
            <w:pPr>
              <w:rPr>
                <w:lang w:val="en-US" w:eastAsia="zh-CN"/>
              </w:rPr>
            </w:pPr>
            <w:r w:rsidRPr="00CF4B0A">
              <w:rPr>
                <w:lang w:val="en-US" w:eastAsia="zh-CN"/>
              </w:rPr>
              <w:t>Non DRX</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B</w:t>
            </w:r>
          </w:p>
        </w:tc>
        <w:tc>
          <w:tcPr>
            <w:tcW w:w="1794" w:type="dxa"/>
            <w:shd w:val="clear" w:color="auto" w:fill="auto"/>
          </w:tcPr>
          <w:p w:rsidR="007E10E4" w:rsidRPr="00CF4B0A" w:rsidRDefault="007E10E4" w:rsidP="00CF4B0A">
            <w:pPr>
              <w:rPr>
                <w:lang w:val="en-US" w:eastAsia="zh-CN"/>
              </w:rPr>
            </w:pPr>
            <w:r w:rsidRPr="00CF4B0A">
              <w:rPr>
                <w:lang w:val="en-US" w:eastAsia="zh-CN"/>
              </w:rPr>
              <w:t>On, Any</w:t>
            </w:r>
          </w:p>
        </w:tc>
        <w:tc>
          <w:tcPr>
            <w:tcW w:w="1794" w:type="dxa"/>
            <w:shd w:val="clear" w:color="auto" w:fill="auto"/>
          </w:tcPr>
          <w:p w:rsidR="007E10E4" w:rsidRPr="00CF4B0A" w:rsidRDefault="007E10E4" w:rsidP="00CF4B0A">
            <w:pPr>
              <w:rPr>
                <w:lang w:val="en-US" w:eastAsia="zh-CN"/>
              </w:rPr>
            </w:pPr>
            <w:r w:rsidRPr="00CF4B0A">
              <w:rPr>
                <w:lang w:val="en-US" w:eastAsia="zh-CN"/>
              </w:rPr>
              <w:t>Off, Any</w:t>
            </w:r>
          </w:p>
        </w:tc>
        <w:tc>
          <w:tcPr>
            <w:tcW w:w="1794" w:type="dxa"/>
            <w:shd w:val="clear" w:color="auto" w:fill="auto"/>
          </w:tcPr>
          <w:p w:rsidR="007E10E4" w:rsidRPr="00CF4B0A" w:rsidRDefault="007E10E4" w:rsidP="00CF4B0A">
            <w:pPr>
              <w:rPr>
                <w:lang w:val="en-US" w:eastAsia="zh-CN"/>
              </w:rPr>
            </w:pPr>
            <w:r w:rsidRPr="00CF4B0A">
              <w:rPr>
                <w:lang w:val="en-US" w:eastAsia="zh-CN"/>
              </w:rPr>
              <w:t xml:space="preserve">According to MCG DRX cycle </w:t>
            </w:r>
          </w:p>
        </w:tc>
        <w:tc>
          <w:tcPr>
            <w:tcW w:w="1794" w:type="dxa"/>
            <w:shd w:val="clear" w:color="auto" w:fill="auto"/>
          </w:tcPr>
          <w:p w:rsidR="007E10E4" w:rsidRPr="00CF4B0A" w:rsidRDefault="007E10E4" w:rsidP="00CF4B0A">
            <w:pPr>
              <w:rPr>
                <w:lang w:val="en-US" w:eastAsia="zh-CN"/>
              </w:rPr>
            </w:pPr>
            <w:r w:rsidRPr="00CF4B0A">
              <w:rPr>
                <w:lang w:val="en-US" w:eastAsia="zh-CN"/>
              </w:rPr>
              <w:t>Non DRX</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C</w:t>
            </w:r>
          </w:p>
        </w:tc>
        <w:tc>
          <w:tcPr>
            <w:tcW w:w="1794" w:type="dxa"/>
            <w:shd w:val="clear" w:color="auto" w:fill="auto"/>
          </w:tcPr>
          <w:p w:rsidR="007E10E4" w:rsidRPr="00CF4B0A" w:rsidRDefault="007E10E4" w:rsidP="00CF4B0A">
            <w:pPr>
              <w:rPr>
                <w:lang w:val="en-US" w:eastAsia="zh-CN"/>
              </w:rPr>
            </w:pPr>
            <w:r w:rsidRPr="00CF4B0A">
              <w:rPr>
                <w:lang w:val="en-US" w:eastAsia="zh-CN"/>
              </w:rPr>
              <w:t>Off, Any</w:t>
            </w:r>
          </w:p>
        </w:tc>
        <w:tc>
          <w:tcPr>
            <w:tcW w:w="1794" w:type="dxa"/>
            <w:shd w:val="clear" w:color="auto" w:fill="auto"/>
          </w:tcPr>
          <w:p w:rsidR="007E10E4" w:rsidRPr="00CF4B0A" w:rsidRDefault="007E10E4" w:rsidP="00CF4B0A">
            <w:pPr>
              <w:rPr>
                <w:lang w:val="en-US" w:eastAsia="zh-CN"/>
              </w:rPr>
            </w:pPr>
            <w:r w:rsidRPr="00CF4B0A">
              <w:rPr>
                <w:lang w:val="en-US" w:eastAsia="zh-CN"/>
              </w:rPr>
              <w:t>On, Any</w:t>
            </w:r>
          </w:p>
        </w:tc>
        <w:tc>
          <w:tcPr>
            <w:tcW w:w="1794" w:type="dxa"/>
            <w:shd w:val="clear" w:color="auto" w:fill="auto"/>
          </w:tcPr>
          <w:p w:rsidR="007E10E4" w:rsidRPr="00CF4B0A" w:rsidRDefault="007E10E4" w:rsidP="00CF4B0A">
            <w:pPr>
              <w:rPr>
                <w:lang w:val="en-US" w:eastAsia="zh-CN"/>
              </w:rPr>
            </w:pPr>
            <w:r w:rsidRPr="00CF4B0A">
              <w:rPr>
                <w:lang w:val="en-US" w:eastAsia="zh-CN"/>
              </w:rPr>
              <w:t>Non DRX</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SCG DRX cycle</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D1</w:t>
            </w:r>
          </w:p>
        </w:tc>
        <w:tc>
          <w:tcPr>
            <w:tcW w:w="1794" w:type="dxa"/>
            <w:shd w:val="clear" w:color="auto" w:fill="auto"/>
          </w:tcPr>
          <w:p w:rsidR="007E10E4" w:rsidRPr="00CF4B0A" w:rsidRDefault="007E10E4" w:rsidP="00CF4B0A">
            <w:pPr>
              <w:rPr>
                <w:lang w:val="en-US" w:eastAsia="zh-CN"/>
              </w:rPr>
            </w:pPr>
            <w:r w:rsidRPr="00CF4B0A">
              <w:rPr>
                <w:lang w:val="en-US" w:eastAsia="zh-CN"/>
              </w:rPr>
              <w:t>On, ≤40ms</w:t>
            </w:r>
          </w:p>
        </w:tc>
        <w:tc>
          <w:tcPr>
            <w:tcW w:w="1794" w:type="dxa"/>
            <w:shd w:val="clear" w:color="auto" w:fill="auto"/>
          </w:tcPr>
          <w:p w:rsidR="007E10E4" w:rsidRPr="00CF4B0A" w:rsidRDefault="007E10E4" w:rsidP="00CF4B0A">
            <w:pPr>
              <w:rPr>
                <w:lang w:val="en-US" w:eastAsia="zh-CN"/>
              </w:rPr>
            </w:pPr>
            <w:r w:rsidRPr="00CF4B0A">
              <w:rPr>
                <w:lang w:val="en-US" w:eastAsia="zh-CN"/>
              </w:rPr>
              <w:t>On, ≤40ms</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MCG DRX cycle</w:t>
            </w:r>
            <w:r w:rsidRPr="00CF4B0A">
              <w:rPr>
                <w:vertAlign w:val="superscript"/>
                <w:lang w:val="en-US" w:eastAsia="zh-CN"/>
              </w:rPr>
              <w:t>Note 1</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SCG DRX cycle</w:t>
            </w:r>
            <w:r w:rsidRPr="00CF4B0A">
              <w:rPr>
                <w:vertAlign w:val="superscript"/>
                <w:lang w:val="en-US" w:eastAsia="zh-CN"/>
              </w:rPr>
              <w:t xml:space="preserve"> Note 1</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D2</w:t>
            </w:r>
          </w:p>
        </w:tc>
        <w:tc>
          <w:tcPr>
            <w:tcW w:w="1794" w:type="dxa"/>
            <w:shd w:val="clear" w:color="auto" w:fill="auto"/>
          </w:tcPr>
          <w:p w:rsidR="007E10E4" w:rsidRPr="00CF4B0A" w:rsidRDefault="007E10E4" w:rsidP="00CF4B0A">
            <w:pPr>
              <w:rPr>
                <w:lang w:val="en-US" w:eastAsia="zh-CN"/>
              </w:rPr>
            </w:pPr>
            <w:r w:rsidRPr="00CF4B0A">
              <w:rPr>
                <w:lang w:val="en-US" w:eastAsia="zh-CN"/>
              </w:rPr>
              <w:t>On, &gt;40ms</w:t>
            </w:r>
          </w:p>
        </w:tc>
        <w:tc>
          <w:tcPr>
            <w:tcW w:w="1794" w:type="dxa"/>
            <w:shd w:val="clear" w:color="auto" w:fill="auto"/>
          </w:tcPr>
          <w:p w:rsidR="007E10E4" w:rsidRPr="00CF4B0A" w:rsidRDefault="007E10E4" w:rsidP="00CF4B0A">
            <w:pPr>
              <w:rPr>
                <w:lang w:val="en-US" w:eastAsia="zh-CN"/>
              </w:rPr>
            </w:pPr>
            <w:r w:rsidRPr="00CF4B0A">
              <w:rPr>
                <w:lang w:val="en-US" w:eastAsia="zh-CN"/>
              </w:rPr>
              <w:t>On, ≤40ms</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MCG DRX cycle</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SCG DRX cycle</w:t>
            </w:r>
            <w:r w:rsidRPr="00CF4B0A">
              <w:rPr>
                <w:vertAlign w:val="superscript"/>
                <w:lang w:val="en-US" w:eastAsia="zh-CN"/>
              </w:rPr>
              <w:t xml:space="preserve"> Note 1</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D3</w:t>
            </w:r>
          </w:p>
        </w:tc>
        <w:tc>
          <w:tcPr>
            <w:tcW w:w="1794" w:type="dxa"/>
            <w:shd w:val="clear" w:color="auto" w:fill="auto"/>
          </w:tcPr>
          <w:p w:rsidR="007E10E4" w:rsidRPr="00CF4B0A" w:rsidRDefault="007E10E4" w:rsidP="00CF4B0A">
            <w:pPr>
              <w:rPr>
                <w:lang w:val="en-US" w:eastAsia="zh-CN"/>
              </w:rPr>
            </w:pPr>
            <w:r w:rsidRPr="00CF4B0A">
              <w:rPr>
                <w:lang w:val="en-US" w:eastAsia="zh-CN"/>
              </w:rPr>
              <w:t>On, ≤40ms</w:t>
            </w:r>
          </w:p>
        </w:tc>
        <w:tc>
          <w:tcPr>
            <w:tcW w:w="1794" w:type="dxa"/>
            <w:shd w:val="clear" w:color="auto" w:fill="auto"/>
          </w:tcPr>
          <w:p w:rsidR="007E10E4" w:rsidRPr="00CF4B0A" w:rsidRDefault="007E10E4" w:rsidP="00CF4B0A">
            <w:pPr>
              <w:rPr>
                <w:lang w:val="en-US" w:eastAsia="zh-CN"/>
              </w:rPr>
            </w:pPr>
            <w:r w:rsidRPr="00CF4B0A">
              <w:rPr>
                <w:lang w:val="en-US" w:eastAsia="zh-CN"/>
              </w:rPr>
              <w:t>On, &gt;40ms</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MCG DRX cycle</w:t>
            </w:r>
            <w:r w:rsidRPr="00CF4B0A">
              <w:rPr>
                <w:vertAlign w:val="superscript"/>
                <w:lang w:val="en-US" w:eastAsia="zh-CN"/>
              </w:rPr>
              <w:t xml:space="preserve"> Note 1</w:t>
            </w:r>
          </w:p>
        </w:tc>
        <w:tc>
          <w:tcPr>
            <w:tcW w:w="1794" w:type="dxa"/>
            <w:shd w:val="clear" w:color="auto" w:fill="auto"/>
          </w:tcPr>
          <w:p w:rsidR="007E10E4" w:rsidRPr="00CF4B0A" w:rsidRDefault="007E10E4" w:rsidP="00CF4B0A">
            <w:pPr>
              <w:rPr>
                <w:lang w:val="en-US" w:eastAsia="zh-CN"/>
              </w:rPr>
            </w:pPr>
            <w:r w:rsidRPr="00CF4B0A">
              <w:rPr>
                <w:lang w:val="en-US" w:eastAsia="zh-CN"/>
              </w:rPr>
              <w:t>According to SCG DRX cycle</w:t>
            </w:r>
          </w:p>
        </w:tc>
      </w:tr>
      <w:tr w:rsidR="007E10E4" w:rsidRPr="00CF4B0A" w:rsidTr="00CF4B0A">
        <w:tc>
          <w:tcPr>
            <w:tcW w:w="1793" w:type="dxa"/>
            <w:shd w:val="clear" w:color="auto" w:fill="auto"/>
          </w:tcPr>
          <w:p w:rsidR="007E10E4" w:rsidRPr="00CF4B0A" w:rsidRDefault="007E10E4" w:rsidP="00CF4B0A">
            <w:pPr>
              <w:rPr>
                <w:lang w:val="en-US" w:eastAsia="zh-CN"/>
              </w:rPr>
            </w:pPr>
            <w:r w:rsidRPr="00CF4B0A">
              <w:rPr>
                <w:lang w:val="en-US" w:eastAsia="zh-CN"/>
              </w:rPr>
              <w:t>Case D4</w:t>
            </w:r>
          </w:p>
        </w:tc>
        <w:tc>
          <w:tcPr>
            <w:tcW w:w="1794" w:type="dxa"/>
            <w:shd w:val="clear" w:color="auto" w:fill="auto"/>
          </w:tcPr>
          <w:p w:rsidR="007E10E4" w:rsidRPr="00CF4B0A" w:rsidRDefault="007E10E4" w:rsidP="00CF4B0A">
            <w:pPr>
              <w:rPr>
                <w:lang w:val="en-US" w:eastAsia="zh-CN"/>
              </w:rPr>
            </w:pPr>
            <w:r w:rsidRPr="00CF4B0A">
              <w:rPr>
                <w:lang w:val="en-US" w:eastAsia="zh-CN"/>
              </w:rPr>
              <w:t>On, &gt;40ms</w:t>
            </w:r>
          </w:p>
        </w:tc>
        <w:tc>
          <w:tcPr>
            <w:tcW w:w="1794" w:type="dxa"/>
            <w:shd w:val="clear" w:color="auto" w:fill="auto"/>
          </w:tcPr>
          <w:p w:rsidR="007E10E4" w:rsidRPr="00CF4B0A" w:rsidRDefault="007E10E4" w:rsidP="00CF4B0A">
            <w:pPr>
              <w:rPr>
                <w:lang w:val="en-US" w:eastAsia="zh-CN"/>
              </w:rPr>
            </w:pPr>
            <w:r w:rsidRPr="00CF4B0A">
              <w:rPr>
                <w:lang w:val="en-US" w:eastAsia="zh-CN"/>
              </w:rPr>
              <w:t>On, &gt;40ms</w:t>
            </w:r>
          </w:p>
        </w:tc>
        <w:tc>
          <w:tcPr>
            <w:tcW w:w="3588" w:type="dxa"/>
            <w:gridSpan w:val="2"/>
            <w:shd w:val="clear" w:color="auto" w:fill="auto"/>
          </w:tcPr>
          <w:p w:rsidR="007E10E4" w:rsidRPr="00CF4B0A" w:rsidRDefault="007E10E4" w:rsidP="00CF4B0A">
            <w:pPr>
              <w:rPr>
                <w:lang w:val="en-US" w:eastAsia="zh-CN"/>
              </w:rPr>
            </w:pPr>
            <w:r w:rsidRPr="00CF4B0A">
              <w:rPr>
                <w:lang w:val="en-US" w:eastAsia="zh-CN"/>
              </w:rPr>
              <w:t>According to max(MCG DRX Cycle, SCG DRX cycle)</w:t>
            </w:r>
          </w:p>
        </w:tc>
      </w:tr>
      <w:tr w:rsidR="007E10E4" w:rsidRPr="00CF4B0A" w:rsidTr="00CF4B0A">
        <w:tc>
          <w:tcPr>
            <w:tcW w:w="8969" w:type="dxa"/>
            <w:gridSpan w:val="5"/>
            <w:shd w:val="clear" w:color="auto" w:fill="auto"/>
          </w:tcPr>
          <w:p w:rsidR="007E10E4" w:rsidRPr="00CF4B0A" w:rsidRDefault="007E10E4" w:rsidP="00CF4B0A">
            <w:pPr>
              <w:rPr>
                <w:lang w:val="en-US" w:eastAsia="zh-CN"/>
              </w:rPr>
            </w:pPr>
            <w:r w:rsidRPr="00CF4B0A">
              <w:rPr>
                <w:vertAlign w:val="superscript"/>
                <w:lang w:val="en-US" w:eastAsia="zh-CN"/>
              </w:rPr>
              <w:t>Note 1</w:t>
            </w:r>
            <w:r w:rsidRPr="00CF4B0A">
              <w:rPr>
                <w:lang w:val="en-US" w:eastAsia="zh-CN"/>
              </w:rPr>
              <w:t>:Requirements similar to non DRX requirements</w:t>
            </w:r>
          </w:p>
        </w:tc>
      </w:tr>
    </w:tbl>
    <w:p w:rsidR="007E10E4" w:rsidRPr="00F228A6" w:rsidRDefault="007E10E4" w:rsidP="007E10E4">
      <w:pPr>
        <w:jc w:val="center"/>
        <w:rPr>
          <w:b/>
          <w:lang w:val="en-US" w:eastAsia="zh-CN"/>
        </w:rPr>
      </w:pPr>
      <w:r>
        <w:rPr>
          <w:b/>
          <w:lang w:val="en-US" w:eastAsia="zh-CN"/>
        </w:rPr>
        <w:t>Table 2 : Proposed DRX requirements for inter-frequency/inter RAT measurements</w:t>
      </w:r>
    </w:p>
    <w:p w:rsidR="00DD2563" w:rsidRPr="004E3F38" w:rsidRDefault="00DD2563" w:rsidP="00DD2563">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A56F76" w:rsidP="00A56F76">
      <w:pPr>
        <w:pStyle w:val="3GPPNormalText"/>
        <w:numPr>
          <w:ilvl w:val="0"/>
          <w:numId w:val="5"/>
        </w:numPr>
        <w:rPr>
          <w:lang w:eastAsia="zh-CN"/>
        </w:rPr>
      </w:pPr>
      <w:bookmarkStart w:id="2" w:name="_Ref527549691"/>
      <w:r w:rsidRPr="00A56F76">
        <w:rPr>
          <w:lang w:val="en-GB" w:eastAsia="zh-CN"/>
        </w:rPr>
        <w:t>R4-1813725</w:t>
      </w:r>
      <w:r w:rsidRPr="00CF4B0A">
        <w:rPr>
          <w:rFonts w:ascii="Calibri Light" w:eastAsia="Times New Roman" w:hAnsi="Calibri" w:cs="Times New Roman"/>
          <w:color w:val="000000"/>
          <w:kern w:val="24"/>
          <w:sz w:val="80"/>
          <w:szCs w:val="80"/>
        </w:rPr>
        <w:t xml:space="preserve"> </w:t>
      </w:r>
      <w:r w:rsidRPr="00A56F76">
        <w:rPr>
          <w:lang w:val="en-GB" w:eastAsia="zh-CN"/>
        </w:rPr>
        <w:t>Way forward on intra and inter frequency measurement requirements in DRX mode</w:t>
      </w:r>
      <w:r>
        <w:rPr>
          <w:lang w:val="en-GB" w:eastAsia="zh-CN"/>
        </w:rPr>
        <w:t>, NTT Docomo</w:t>
      </w:r>
      <w:bookmarkEnd w:id="2"/>
    </w:p>
    <w:sectPr w:rsidR="00C36F14"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3AD3" w:rsidRDefault="00AD3AD3">
      <w:r>
        <w:separator/>
      </w:r>
    </w:p>
  </w:endnote>
  <w:endnote w:type="continuationSeparator" w:id="0">
    <w:p w:rsidR="00AD3AD3" w:rsidRDefault="00AD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3AD3" w:rsidRDefault="00AD3AD3">
      <w:r>
        <w:separator/>
      </w:r>
    </w:p>
  </w:footnote>
  <w:footnote w:type="continuationSeparator" w:id="0">
    <w:p w:rsidR="00AD3AD3" w:rsidRDefault="00AD3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670771"/>
    <w:multiLevelType w:val="hybridMultilevel"/>
    <w:tmpl w:val="3628279C"/>
    <w:lvl w:ilvl="0" w:tplc="E2A2FE54">
      <w:start w:val="1"/>
      <w:numFmt w:val="bullet"/>
      <w:lvlText w:val="•"/>
      <w:lvlJc w:val="left"/>
      <w:pPr>
        <w:tabs>
          <w:tab w:val="num" w:pos="720"/>
        </w:tabs>
        <w:ind w:left="720" w:hanging="360"/>
      </w:pPr>
      <w:rPr>
        <w:rFonts w:ascii="Arial" w:hAnsi="Arial" w:hint="default"/>
      </w:rPr>
    </w:lvl>
    <w:lvl w:ilvl="1" w:tplc="5F6AB98A">
      <w:start w:val="78"/>
      <w:numFmt w:val="bullet"/>
      <w:lvlText w:val="–"/>
      <w:lvlJc w:val="left"/>
      <w:pPr>
        <w:tabs>
          <w:tab w:val="num" w:pos="1440"/>
        </w:tabs>
        <w:ind w:left="1440" w:hanging="360"/>
      </w:pPr>
      <w:rPr>
        <w:rFonts w:ascii="Arial" w:hAnsi="Arial" w:hint="default"/>
      </w:rPr>
    </w:lvl>
    <w:lvl w:ilvl="2" w:tplc="8514F1AA" w:tentative="1">
      <w:start w:val="1"/>
      <w:numFmt w:val="bullet"/>
      <w:lvlText w:val="•"/>
      <w:lvlJc w:val="left"/>
      <w:pPr>
        <w:tabs>
          <w:tab w:val="num" w:pos="2160"/>
        </w:tabs>
        <w:ind w:left="2160" w:hanging="360"/>
      </w:pPr>
      <w:rPr>
        <w:rFonts w:ascii="Arial" w:hAnsi="Arial" w:hint="default"/>
      </w:rPr>
    </w:lvl>
    <w:lvl w:ilvl="3" w:tplc="BE1A78AC" w:tentative="1">
      <w:start w:val="1"/>
      <w:numFmt w:val="bullet"/>
      <w:lvlText w:val="•"/>
      <w:lvlJc w:val="left"/>
      <w:pPr>
        <w:tabs>
          <w:tab w:val="num" w:pos="2880"/>
        </w:tabs>
        <w:ind w:left="2880" w:hanging="360"/>
      </w:pPr>
      <w:rPr>
        <w:rFonts w:ascii="Arial" w:hAnsi="Arial" w:hint="default"/>
      </w:rPr>
    </w:lvl>
    <w:lvl w:ilvl="4" w:tplc="FF02B90A" w:tentative="1">
      <w:start w:val="1"/>
      <w:numFmt w:val="bullet"/>
      <w:lvlText w:val="•"/>
      <w:lvlJc w:val="left"/>
      <w:pPr>
        <w:tabs>
          <w:tab w:val="num" w:pos="3600"/>
        </w:tabs>
        <w:ind w:left="3600" w:hanging="360"/>
      </w:pPr>
      <w:rPr>
        <w:rFonts w:ascii="Arial" w:hAnsi="Arial" w:hint="default"/>
      </w:rPr>
    </w:lvl>
    <w:lvl w:ilvl="5" w:tplc="5784E4B6" w:tentative="1">
      <w:start w:val="1"/>
      <w:numFmt w:val="bullet"/>
      <w:lvlText w:val="•"/>
      <w:lvlJc w:val="left"/>
      <w:pPr>
        <w:tabs>
          <w:tab w:val="num" w:pos="4320"/>
        </w:tabs>
        <w:ind w:left="4320" w:hanging="360"/>
      </w:pPr>
      <w:rPr>
        <w:rFonts w:ascii="Arial" w:hAnsi="Arial" w:hint="default"/>
      </w:rPr>
    </w:lvl>
    <w:lvl w:ilvl="6" w:tplc="BBC64660" w:tentative="1">
      <w:start w:val="1"/>
      <w:numFmt w:val="bullet"/>
      <w:lvlText w:val="•"/>
      <w:lvlJc w:val="left"/>
      <w:pPr>
        <w:tabs>
          <w:tab w:val="num" w:pos="5040"/>
        </w:tabs>
        <w:ind w:left="5040" w:hanging="360"/>
      </w:pPr>
      <w:rPr>
        <w:rFonts w:ascii="Arial" w:hAnsi="Arial" w:hint="default"/>
      </w:rPr>
    </w:lvl>
    <w:lvl w:ilvl="7" w:tplc="62B890EC" w:tentative="1">
      <w:start w:val="1"/>
      <w:numFmt w:val="bullet"/>
      <w:lvlText w:val="•"/>
      <w:lvlJc w:val="left"/>
      <w:pPr>
        <w:tabs>
          <w:tab w:val="num" w:pos="5760"/>
        </w:tabs>
        <w:ind w:left="5760" w:hanging="360"/>
      </w:pPr>
      <w:rPr>
        <w:rFonts w:ascii="Arial" w:hAnsi="Arial" w:hint="default"/>
      </w:rPr>
    </w:lvl>
    <w:lvl w:ilvl="8" w:tplc="4AAC307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6"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5A4785"/>
    <w:multiLevelType w:val="hybridMultilevel"/>
    <w:tmpl w:val="E1865430"/>
    <w:lvl w:ilvl="0" w:tplc="428A0834">
      <w:start w:val="1"/>
      <w:numFmt w:val="bullet"/>
      <w:lvlText w:val="•"/>
      <w:lvlJc w:val="left"/>
      <w:pPr>
        <w:tabs>
          <w:tab w:val="num" w:pos="720"/>
        </w:tabs>
        <w:ind w:left="720" w:hanging="360"/>
      </w:pPr>
      <w:rPr>
        <w:rFonts w:ascii="Arial" w:hAnsi="Arial" w:hint="default"/>
      </w:rPr>
    </w:lvl>
    <w:lvl w:ilvl="1" w:tplc="348C3AA8">
      <w:start w:val="78"/>
      <w:numFmt w:val="bullet"/>
      <w:lvlText w:val="–"/>
      <w:lvlJc w:val="left"/>
      <w:pPr>
        <w:tabs>
          <w:tab w:val="num" w:pos="1440"/>
        </w:tabs>
        <w:ind w:left="1440" w:hanging="360"/>
      </w:pPr>
      <w:rPr>
        <w:rFonts w:ascii="Arial" w:hAnsi="Arial" w:hint="default"/>
      </w:rPr>
    </w:lvl>
    <w:lvl w:ilvl="2" w:tplc="94E6D8E6">
      <w:start w:val="78"/>
      <w:numFmt w:val="bullet"/>
      <w:lvlText w:val="•"/>
      <w:lvlJc w:val="left"/>
      <w:pPr>
        <w:tabs>
          <w:tab w:val="num" w:pos="2160"/>
        </w:tabs>
        <w:ind w:left="2160" w:hanging="360"/>
      </w:pPr>
      <w:rPr>
        <w:rFonts w:ascii="Arial" w:hAnsi="Arial" w:hint="default"/>
      </w:rPr>
    </w:lvl>
    <w:lvl w:ilvl="3" w:tplc="6A304326">
      <w:start w:val="78"/>
      <w:numFmt w:val="bullet"/>
      <w:lvlText w:val="–"/>
      <w:lvlJc w:val="left"/>
      <w:pPr>
        <w:tabs>
          <w:tab w:val="num" w:pos="2880"/>
        </w:tabs>
        <w:ind w:left="2880" w:hanging="360"/>
      </w:pPr>
      <w:rPr>
        <w:rFonts w:ascii="Arial" w:hAnsi="Arial" w:hint="default"/>
      </w:rPr>
    </w:lvl>
    <w:lvl w:ilvl="4" w:tplc="5EDA2BF6" w:tentative="1">
      <w:start w:val="1"/>
      <w:numFmt w:val="bullet"/>
      <w:lvlText w:val="•"/>
      <w:lvlJc w:val="left"/>
      <w:pPr>
        <w:tabs>
          <w:tab w:val="num" w:pos="3600"/>
        </w:tabs>
        <w:ind w:left="3600" w:hanging="360"/>
      </w:pPr>
      <w:rPr>
        <w:rFonts w:ascii="Arial" w:hAnsi="Arial" w:hint="default"/>
      </w:rPr>
    </w:lvl>
    <w:lvl w:ilvl="5" w:tplc="DE0E44B0" w:tentative="1">
      <w:start w:val="1"/>
      <w:numFmt w:val="bullet"/>
      <w:lvlText w:val="•"/>
      <w:lvlJc w:val="left"/>
      <w:pPr>
        <w:tabs>
          <w:tab w:val="num" w:pos="4320"/>
        </w:tabs>
        <w:ind w:left="4320" w:hanging="360"/>
      </w:pPr>
      <w:rPr>
        <w:rFonts w:ascii="Arial" w:hAnsi="Arial" w:hint="default"/>
      </w:rPr>
    </w:lvl>
    <w:lvl w:ilvl="6" w:tplc="79B80F6E" w:tentative="1">
      <w:start w:val="1"/>
      <w:numFmt w:val="bullet"/>
      <w:lvlText w:val="•"/>
      <w:lvlJc w:val="left"/>
      <w:pPr>
        <w:tabs>
          <w:tab w:val="num" w:pos="5040"/>
        </w:tabs>
        <w:ind w:left="5040" w:hanging="360"/>
      </w:pPr>
      <w:rPr>
        <w:rFonts w:ascii="Arial" w:hAnsi="Arial" w:hint="default"/>
      </w:rPr>
    </w:lvl>
    <w:lvl w:ilvl="7" w:tplc="60EEE7AE" w:tentative="1">
      <w:start w:val="1"/>
      <w:numFmt w:val="bullet"/>
      <w:lvlText w:val="•"/>
      <w:lvlJc w:val="left"/>
      <w:pPr>
        <w:tabs>
          <w:tab w:val="num" w:pos="5760"/>
        </w:tabs>
        <w:ind w:left="5760" w:hanging="360"/>
      </w:pPr>
      <w:rPr>
        <w:rFonts w:ascii="Arial" w:hAnsi="Arial" w:hint="default"/>
      </w:rPr>
    </w:lvl>
    <w:lvl w:ilvl="8" w:tplc="7BB67D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3EB07DD"/>
    <w:multiLevelType w:val="hybridMultilevel"/>
    <w:tmpl w:val="AB4040DC"/>
    <w:lvl w:ilvl="0" w:tplc="CA940458">
      <w:start w:val="1"/>
      <w:numFmt w:val="bullet"/>
      <w:lvlText w:val="•"/>
      <w:lvlJc w:val="left"/>
      <w:pPr>
        <w:tabs>
          <w:tab w:val="num" w:pos="720"/>
        </w:tabs>
        <w:ind w:left="720" w:hanging="360"/>
      </w:pPr>
      <w:rPr>
        <w:rFonts w:ascii="Arial" w:hAnsi="Arial" w:hint="default"/>
      </w:rPr>
    </w:lvl>
    <w:lvl w:ilvl="1" w:tplc="1A94FC62">
      <w:start w:val="78"/>
      <w:numFmt w:val="bullet"/>
      <w:lvlText w:val="–"/>
      <w:lvlJc w:val="left"/>
      <w:pPr>
        <w:tabs>
          <w:tab w:val="num" w:pos="1440"/>
        </w:tabs>
        <w:ind w:left="1440" w:hanging="360"/>
      </w:pPr>
      <w:rPr>
        <w:rFonts w:ascii="Arial" w:hAnsi="Arial" w:hint="default"/>
      </w:rPr>
    </w:lvl>
    <w:lvl w:ilvl="2" w:tplc="E12CD122">
      <w:start w:val="78"/>
      <w:numFmt w:val="bullet"/>
      <w:lvlText w:val="•"/>
      <w:lvlJc w:val="left"/>
      <w:pPr>
        <w:tabs>
          <w:tab w:val="num" w:pos="2160"/>
        </w:tabs>
        <w:ind w:left="2160" w:hanging="360"/>
      </w:pPr>
      <w:rPr>
        <w:rFonts w:ascii="Arial" w:hAnsi="Arial" w:hint="default"/>
      </w:rPr>
    </w:lvl>
    <w:lvl w:ilvl="3" w:tplc="C5B0855A">
      <w:start w:val="78"/>
      <w:numFmt w:val="bullet"/>
      <w:lvlText w:val="–"/>
      <w:lvlJc w:val="left"/>
      <w:pPr>
        <w:tabs>
          <w:tab w:val="num" w:pos="2880"/>
        </w:tabs>
        <w:ind w:left="2880" w:hanging="360"/>
      </w:pPr>
      <w:rPr>
        <w:rFonts w:ascii="Arial" w:hAnsi="Arial" w:hint="default"/>
      </w:rPr>
    </w:lvl>
    <w:lvl w:ilvl="4" w:tplc="622A3A02" w:tentative="1">
      <w:start w:val="1"/>
      <w:numFmt w:val="bullet"/>
      <w:lvlText w:val="•"/>
      <w:lvlJc w:val="left"/>
      <w:pPr>
        <w:tabs>
          <w:tab w:val="num" w:pos="3600"/>
        </w:tabs>
        <w:ind w:left="3600" w:hanging="360"/>
      </w:pPr>
      <w:rPr>
        <w:rFonts w:ascii="Arial" w:hAnsi="Arial" w:hint="default"/>
      </w:rPr>
    </w:lvl>
    <w:lvl w:ilvl="5" w:tplc="D806D90E" w:tentative="1">
      <w:start w:val="1"/>
      <w:numFmt w:val="bullet"/>
      <w:lvlText w:val="•"/>
      <w:lvlJc w:val="left"/>
      <w:pPr>
        <w:tabs>
          <w:tab w:val="num" w:pos="4320"/>
        </w:tabs>
        <w:ind w:left="4320" w:hanging="360"/>
      </w:pPr>
      <w:rPr>
        <w:rFonts w:ascii="Arial" w:hAnsi="Arial" w:hint="default"/>
      </w:rPr>
    </w:lvl>
    <w:lvl w:ilvl="6" w:tplc="ACBC3CC0" w:tentative="1">
      <w:start w:val="1"/>
      <w:numFmt w:val="bullet"/>
      <w:lvlText w:val="•"/>
      <w:lvlJc w:val="left"/>
      <w:pPr>
        <w:tabs>
          <w:tab w:val="num" w:pos="5040"/>
        </w:tabs>
        <w:ind w:left="5040" w:hanging="360"/>
      </w:pPr>
      <w:rPr>
        <w:rFonts w:ascii="Arial" w:hAnsi="Arial" w:hint="default"/>
      </w:rPr>
    </w:lvl>
    <w:lvl w:ilvl="7" w:tplc="17FA51F2" w:tentative="1">
      <w:start w:val="1"/>
      <w:numFmt w:val="bullet"/>
      <w:lvlText w:val="•"/>
      <w:lvlJc w:val="left"/>
      <w:pPr>
        <w:tabs>
          <w:tab w:val="num" w:pos="5760"/>
        </w:tabs>
        <w:ind w:left="5760" w:hanging="360"/>
      </w:pPr>
      <w:rPr>
        <w:rFonts w:ascii="Arial" w:hAnsi="Arial" w:hint="default"/>
      </w:rPr>
    </w:lvl>
    <w:lvl w:ilvl="8" w:tplc="21AE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EE4C99"/>
    <w:multiLevelType w:val="hybridMultilevel"/>
    <w:tmpl w:val="964A3D4E"/>
    <w:lvl w:ilvl="0" w:tplc="3BCEA0BA">
      <w:start w:val="1"/>
      <w:numFmt w:val="bullet"/>
      <w:lvlText w:val="•"/>
      <w:lvlJc w:val="left"/>
      <w:pPr>
        <w:tabs>
          <w:tab w:val="num" w:pos="720"/>
        </w:tabs>
        <w:ind w:left="720" w:hanging="360"/>
      </w:pPr>
      <w:rPr>
        <w:rFonts w:ascii="Arial" w:hAnsi="Arial" w:hint="default"/>
      </w:rPr>
    </w:lvl>
    <w:lvl w:ilvl="1" w:tplc="7BB2CAE8" w:tentative="1">
      <w:start w:val="1"/>
      <w:numFmt w:val="bullet"/>
      <w:lvlText w:val="•"/>
      <w:lvlJc w:val="left"/>
      <w:pPr>
        <w:tabs>
          <w:tab w:val="num" w:pos="1440"/>
        </w:tabs>
        <w:ind w:left="1440" w:hanging="360"/>
      </w:pPr>
      <w:rPr>
        <w:rFonts w:ascii="Arial" w:hAnsi="Arial" w:hint="default"/>
      </w:rPr>
    </w:lvl>
    <w:lvl w:ilvl="2" w:tplc="9E14E4A4">
      <w:start w:val="78"/>
      <w:numFmt w:val="bullet"/>
      <w:lvlText w:val="•"/>
      <w:lvlJc w:val="left"/>
      <w:pPr>
        <w:tabs>
          <w:tab w:val="num" w:pos="2160"/>
        </w:tabs>
        <w:ind w:left="2160" w:hanging="360"/>
      </w:pPr>
      <w:rPr>
        <w:rFonts w:ascii="Arial" w:hAnsi="Arial" w:hint="default"/>
      </w:rPr>
    </w:lvl>
    <w:lvl w:ilvl="3" w:tplc="0C86CDD8">
      <w:start w:val="78"/>
      <w:numFmt w:val="bullet"/>
      <w:lvlText w:val="–"/>
      <w:lvlJc w:val="left"/>
      <w:pPr>
        <w:tabs>
          <w:tab w:val="num" w:pos="2880"/>
        </w:tabs>
        <w:ind w:left="2880" w:hanging="360"/>
      </w:pPr>
      <w:rPr>
        <w:rFonts w:ascii="Arial" w:hAnsi="Arial" w:hint="default"/>
      </w:rPr>
    </w:lvl>
    <w:lvl w:ilvl="4" w:tplc="7BE46880" w:tentative="1">
      <w:start w:val="1"/>
      <w:numFmt w:val="bullet"/>
      <w:lvlText w:val="•"/>
      <w:lvlJc w:val="left"/>
      <w:pPr>
        <w:tabs>
          <w:tab w:val="num" w:pos="3600"/>
        </w:tabs>
        <w:ind w:left="3600" w:hanging="360"/>
      </w:pPr>
      <w:rPr>
        <w:rFonts w:ascii="Arial" w:hAnsi="Arial" w:hint="default"/>
      </w:rPr>
    </w:lvl>
    <w:lvl w:ilvl="5" w:tplc="50508C16" w:tentative="1">
      <w:start w:val="1"/>
      <w:numFmt w:val="bullet"/>
      <w:lvlText w:val="•"/>
      <w:lvlJc w:val="left"/>
      <w:pPr>
        <w:tabs>
          <w:tab w:val="num" w:pos="4320"/>
        </w:tabs>
        <w:ind w:left="4320" w:hanging="360"/>
      </w:pPr>
      <w:rPr>
        <w:rFonts w:ascii="Arial" w:hAnsi="Arial" w:hint="default"/>
      </w:rPr>
    </w:lvl>
    <w:lvl w:ilvl="6" w:tplc="9D36B6D0" w:tentative="1">
      <w:start w:val="1"/>
      <w:numFmt w:val="bullet"/>
      <w:lvlText w:val="•"/>
      <w:lvlJc w:val="left"/>
      <w:pPr>
        <w:tabs>
          <w:tab w:val="num" w:pos="5040"/>
        </w:tabs>
        <w:ind w:left="5040" w:hanging="360"/>
      </w:pPr>
      <w:rPr>
        <w:rFonts w:ascii="Arial" w:hAnsi="Arial" w:hint="default"/>
      </w:rPr>
    </w:lvl>
    <w:lvl w:ilvl="7" w:tplc="E0522878" w:tentative="1">
      <w:start w:val="1"/>
      <w:numFmt w:val="bullet"/>
      <w:lvlText w:val="•"/>
      <w:lvlJc w:val="left"/>
      <w:pPr>
        <w:tabs>
          <w:tab w:val="num" w:pos="5760"/>
        </w:tabs>
        <w:ind w:left="5760" w:hanging="360"/>
      </w:pPr>
      <w:rPr>
        <w:rFonts w:ascii="Arial" w:hAnsi="Arial" w:hint="default"/>
      </w:rPr>
    </w:lvl>
    <w:lvl w:ilvl="8" w:tplc="FA369F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B82CE1"/>
    <w:multiLevelType w:val="hybridMultilevel"/>
    <w:tmpl w:val="DF68411E"/>
    <w:lvl w:ilvl="0" w:tplc="9976B3A8">
      <w:start w:val="1"/>
      <w:numFmt w:val="bullet"/>
      <w:lvlText w:val="•"/>
      <w:lvlJc w:val="left"/>
      <w:pPr>
        <w:tabs>
          <w:tab w:val="num" w:pos="720"/>
        </w:tabs>
        <w:ind w:left="720" w:hanging="360"/>
      </w:pPr>
      <w:rPr>
        <w:rFonts w:ascii="Arial" w:hAnsi="Arial" w:hint="default"/>
      </w:rPr>
    </w:lvl>
    <w:lvl w:ilvl="1" w:tplc="D474DD30">
      <w:start w:val="1"/>
      <w:numFmt w:val="bullet"/>
      <w:lvlText w:val="•"/>
      <w:lvlJc w:val="left"/>
      <w:pPr>
        <w:tabs>
          <w:tab w:val="num" w:pos="1440"/>
        </w:tabs>
        <w:ind w:left="1440" w:hanging="360"/>
      </w:pPr>
      <w:rPr>
        <w:rFonts w:ascii="Arial" w:hAnsi="Arial" w:hint="default"/>
      </w:rPr>
    </w:lvl>
    <w:lvl w:ilvl="2" w:tplc="29DE9DD8">
      <w:start w:val="1"/>
      <w:numFmt w:val="bullet"/>
      <w:lvlText w:val="•"/>
      <w:lvlJc w:val="left"/>
      <w:pPr>
        <w:tabs>
          <w:tab w:val="num" w:pos="2160"/>
        </w:tabs>
        <w:ind w:left="2160" w:hanging="360"/>
      </w:pPr>
      <w:rPr>
        <w:rFonts w:ascii="Arial" w:hAnsi="Arial" w:hint="default"/>
      </w:rPr>
    </w:lvl>
    <w:lvl w:ilvl="3" w:tplc="D7CA23D2">
      <w:start w:val="1"/>
      <w:numFmt w:val="bullet"/>
      <w:lvlText w:val="•"/>
      <w:lvlJc w:val="left"/>
      <w:pPr>
        <w:tabs>
          <w:tab w:val="num" w:pos="2880"/>
        </w:tabs>
        <w:ind w:left="2880" w:hanging="360"/>
      </w:pPr>
      <w:rPr>
        <w:rFonts w:ascii="Arial" w:hAnsi="Arial" w:hint="default"/>
      </w:rPr>
    </w:lvl>
    <w:lvl w:ilvl="4" w:tplc="9A6C9F5C" w:tentative="1">
      <w:start w:val="1"/>
      <w:numFmt w:val="bullet"/>
      <w:lvlText w:val="•"/>
      <w:lvlJc w:val="left"/>
      <w:pPr>
        <w:tabs>
          <w:tab w:val="num" w:pos="3600"/>
        </w:tabs>
        <w:ind w:left="3600" w:hanging="360"/>
      </w:pPr>
      <w:rPr>
        <w:rFonts w:ascii="Arial" w:hAnsi="Arial" w:hint="default"/>
      </w:rPr>
    </w:lvl>
    <w:lvl w:ilvl="5" w:tplc="0A5CD4FE" w:tentative="1">
      <w:start w:val="1"/>
      <w:numFmt w:val="bullet"/>
      <w:lvlText w:val="•"/>
      <w:lvlJc w:val="left"/>
      <w:pPr>
        <w:tabs>
          <w:tab w:val="num" w:pos="4320"/>
        </w:tabs>
        <w:ind w:left="4320" w:hanging="360"/>
      </w:pPr>
      <w:rPr>
        <w:rFonts w:ascii="Arial" w:hAnsi="Arial" w:hint="default"/>
      </w:rPr>
    </w:lvl>
    <w:lvl w:ilvl="6" w:tplc="CB1A3948" w:tentative="1">
      <w:start w:val="1"/>
      <w:numFmt w:val="bullet"/>
      <w:lvlText w:val="•"/>
      <w:lvlJc w:val="left"/>
      <w:pPr>
        <w:tabs>
          <w:tab w:val="num" w:pos="5040"/>
        </w:tabs>
        <w:ind w:left="5040" w:hanging="360"/>
      </w:pPr>
      <w:rPr>
        <w:rFonts w:ascii="Arial" w:hAnsi="Arial" w:hint="default"/>
      </w:rPr>
    </w:lvl>
    <w:lvl w:ilvl="7" w:tplc="EF52A08E" w:tentative="1">
      <w:start w:val="1"/>
      <w:numFmt w:val="bullet"/>
      <w:lvlText w:val="•"/>
      <w:lvlJc w:val="left"/>
      <w:pPr>
        <w:tabs>
          <w:tab w:val="num" w:pos="5760"/>
        </w:tabs>
        <w:ind w:left="5760" w:hanging="360"/>
      </w:pPr>
      <w:rPr>
        <w:rFonts w:ascii="Arial" w:hAnsi="Arial" w:hint="default"/>
      </w:rPr>
    </w:lvl>
    <w:lvl w:ilvl="8" w:tplc="122EDE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FF59E7"/>
    <w:multiLevelType w:val="hybridMultilevel"/>
    <w:tmpl w:val="5F908376"/>
    <w:lvl w:ilvl="0" w:tplc="CD04B06C">
      <w:start w:val="1"/>
      <w:numFmt w:val="bullet"/>
      <w:lvlText w:val="•"/>
      <w:lvlJc w:val="left"/>
      <w:pPr>
        <w:tabs>
          <w:tab w:val="num" w:pos="720"/>
        </w:tabs>
        <w:ind w:left="720" w:hanging="360"/>
      </w:pPr>
      <w:rPr>
        <w:rFonts w:ascii="Arial" w:hAnsi="Arial" w:hint="default"/>
      </w:rPr>
    </w:lvl>
    <w:lvl w:ilvl="1" w:tplc="C2B87FE4">
      <w:start w:val="78"/>
      <w:numFmt w:val="bullet"/>
      <w:lvlText w:val="–"/>
      <w:lvlJc w:val="left"/>
      <w:pPr>
        <w:tabs>
          <w:tab w:val="num" w:pos="1440"/>
        </w:tabs>
        <w:ind w:left="1440" w:hanging="360"/>
      </w:pPr>
      <w:rPr>
        <w:rFonts w:ascii="Arial" w:hAnsi="Arial" w:hint="default"/>
      </w:rPr>
    </w:lvl>
    <w:lvl w:ilvl="2" w:tplc="CD4C5D58">
      <w:start w:val="78"/>
      <w:numFmt w:val="bullet"/>
      <w:lvlText w:val="•"/>
      <w:lvlJc w:val="left"/>
      <w:pPr>
        <w:tabs>
          <w:tab w:val="num" w:pos="2160"/>
        </w:tabs>
        <w:ind w:left="2160" w:hanging="360"/>
      </w:pPr>
      <w:rPr>
        <w:rFonts w:ascii="Arial" w:hAnsi="Arial" w:hint="default"/>
      </w:rPr>
    </w:lvl>
    <w:lvl w:ilvl="3" w:tplc="8DF46318" w:tentative="1">
      <w:start w:val="1"/>
      <w:numFmt w:val="bullet"/>
      <w:lvlText w:val="•"/>
      <w:lvlJc w:val="left"/>
      <w:pPr>
        <w:tabs>
          <w:tab w:val="num" w:pos="2880"/>
        </w:tabs>
        <w:ind w:left="2880" w:hanging="360"/>
      </w:pPr>
      <w:rPr>
        <w:rFonts w:ascii="Arial" w:hAnsi="Arial" w:hint="default"/>
      </w:rPr>
    </w:lvl>
    <w:lvl w:ilvl="4" w:tplc="15966B5E" w:tentative="1">
      <w:start w:val="1"/>
      <w:numFmt w:val="bullet"/>
      <w:lvlText w:val="•"/>
      <w:lvlJc w:val="left"/>
      <w:pPr>
        <w:tabs>
          <w:tab w:val="num" w:pos="3600"/>
        </w:tabs>
        <w:ind w:left="3600" w:hanging="360"/>
      </w:pPr>
      <w:rPr>
        <w:rFonts w:ascii="Arial" w:hAnsi="Arial" w:hint="default"/>
      </w:rPr>
    </w:lvl>
    <w:lvl w:ilvl="5" w:tplc="8AD228F2" w:tentative="1">
      <w:start w:val="1"/>
      <w:numFmt w:val="bullet"/>
      <w:lvlText w:val="•"/>
      <w:lvlJc w:val="left"/>
      <w:pPr>
        <w:tabs>
          <w:tab w:val="num" w:pos="4320"/>
        </w:tabs>
        <w:ind w:left="4320" w:hanging="360"/>
      </w:pPr>
      <w:rPr>
        <w:rFonts w:ascii="Arial" w:hAnsi="Arial" w:hint="default"/>
      </w:rPr>
    </w:lvl>
    <w:lvl w:ilvl="6" w:tplc="46AED6DC" w:tentative="1">
      <w:start w:val="1"/>
      <w:numFmt w:val="bullet"/>
      <w:lvlText w:val="•"/>
      <w:lvlJc w:val="left"/>
      <w:pPr>
        <w:tabs>
          <w:tab w:val="num" w:pos="5040"/>
        </w:tabs>
        <w:ind w:left="5040" w:hanging="360"/>
      </w:pPr>
      <w:rPr>
        <w:rFonts w:ascii="Arial" w:hAnsi="Arial" w:hint="default"/>
      </w:rPr>
    </w:lvl>
    <w:lvl w:ilvl="7" w:tplc="4C527262" w:tentative="1">
      <w:start w:val="1"/>
      <w:numFmt w:val="bullet"/>
      <w:lvlText w:val="•"/>
      <w:lvlJc w:val="left"/>
      <w:pPr>
        <w:tabs>
          <w:tab w:val="num" w:pos="5760"/>
        </w:tabs>
        <w:ind w:left="5760" w:hanging="360"/>
      </w:pPr>
      <w:rPr>
        <w:rFonts w:ascii="Arial" w:hAnsi="Arial" w:hint="default"/>
      </w:rPr>
    </w:lvl>
    <w:lvl w:ilvl="8" w:tplc="96920A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C5362144">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87369530">
      <w:start w:val="1"/>
      <w:numFmt w:val="bullet"/>
      <w:lvlText w:val="o"/>
      <w:lvlJc w:val="left"/>
      <w:pPr>
        <w:tabs>
          <w:tab w:val="num" w:pos="1440"/>
        </w:tabs>
        <w:ind w:left="1440" w:hanging="360"/>
      </w:pPr>
      <w:rPr>
        <w:rFonts w:ascii="Arial" w:hAnsi="Arial" w:cs="Arial" w:hint="default"/>
      </w:rPr>
    </w:lvl>
    <w:lvl w:ilvl="2" w:tplc="BBB0D266" w:tentative="1">
      <w:start w:val="1"/>
      <w:numFmt w:val="bullet"/>
      <w:lvlText w:val=""/>
      <w:lvlJc w:val="left"/>
      <w:pPr>
        <w:tabs>
          <w:tab w:val="num" w:pos="2160"/>
        </w:tabs>
        <w:ind w:left="2160" w:hanging="360"/>
      </w:pPr>
      <w:rPr>
        <w:rFonts w:ascii="Batang" w:hAnsi="Batang" w:hint="default"/>
      </w:rPr>
    </w:lvl>
    <w:lvl w:ilvl="3" w:tplc="21DC42F0" w:tentative="1">
      <w:start w:val="1"/>
      <w:numFmt w:val="bullet"/>
      <w:lvlText w:val=""/>
      <w:lvlJc w:val="left"/>
      <w:pPr>
        <w:tabs>
          <w:tab w:val="num" w:pos="2880"/>
        </w:tabs>
        <w:ind w:left="2880" w:hanging="360"/>
      </w:pPr>
      <w:rPr>
        <w:rFonts w:ascii="Wingdings" w:hAnsi="Wingdings" w:hint="default"/>
      </w:rPr>
    </w:lvl>
    <w:lvl w:ilvl="4" w:tplc="871A94B0" w:tentative="1">
      <w:start w:val="1"/>
      <w:numFmt w:val="bullet"/>
      <w:lvlText w:val="o"/>
      <w:lvlJc w:val="left"/>
      <w:pPr>
        <w:tabs>
          <w:tab w:val="num" w:pos="3600"/>
        </w:tabs>
        <w:ind w:left="3600" w:hanging="360"/>
      </w:pPr>
      <w:rPr>
        <w:rFonts w:ascii="Arial" w:hAnsi="Arial" w:cs="Arial" w:hint="default"/>
      </w:rPr>
    </w:lvl>
    <w:lvl w:ilvl="5" w:tplc="C5B66246" w:tentative="1">
      <w:start w:val="1"/>
      <w:numFmt w:val="bullet"/>
      <w:lvlText w:val=""/>
      <w:lvlJc w:val="left"/>
      <w:pPr>
        <w:tabs>
          <w:tab w:val="num" w:pos="4320"/>
        </w:tabs>
        <w:ind w:left="4320" w:hanging="360"/>
      </w:pPr>
      <w:rPr>
        <w:rFonts w:ascii="Batang" w:hAnsi="Batang" w:hint="default"/>
      </w:rPr>
    </w:lvl>
    <w:lvl w:ilvl="6" w:tplc="7FEE68AC" w:tentative="1">
      <w:start w:val="1"/>
      <w:numFmt w:val="bullet"/>
      <w:lvlText w:val=""/>
      <w:lvlJc w:val="left"/>
      <w:pPr>
        <w:tabs>
          <w:tab w:val="num" w:pos="5040"/>
        </w:tabs>
        <w:ind w:left="5040" w:hanging="360"/>
      </w:pPr>
      <w:rPr>
        <w:rFonts w:ascii="Wingdings" w:hAnsi="Wingdings" w:hint="default"/>
      </w:rPr>
    </w:lvl>
    <w:lvl w:ilvl="7" w:tplc="29A89572" w:tentative="1">
      <w:start w:val="1"/>
      <w:numFmt w:val="bullet"/>
      <w:lvlText w:val="o"/>
      <w:lvlJc w:val="left"/>
      <w:pPr>
        <w:tabs>
          <w:tab w:val="num" w:pos="5760"/>
        </w:tabs>
        <w:ind w:left="5760" w:hanging="360"/>
      </w:pPr>
      <w:rPr>
        <w:rFonts w:ascii="Arial" w:hAnsi="Arial" w:cs="Arial" w:hint="default"/>
      </w:rPr>
    </w:lvl>
    <w:lvl w:ilvl="8" w:tplc="A9ACB12A" w:tentative="1">
      <w:start w:val="1"/>
      <w:numFmt w:val="bullet"/>
      <w:lvlText w:val=""/>
      <w:lvlJc w:val="left"/>
      <w:pPr>
        <w:tabs>
          <w:tab w:val="num" w:pos="6480"/>
        </w:tabs>
        <w:ind w:left="6480" w:hanging="360"/>
      </w:pPr>
      <w:rPr>
        <w:rFonts w:ascii="Batang" w:hAnsi="Batang" w:hint="default"/>
      </w:rPr>
    </w:lvl>
  </w:abstractNum>
  <w:abstractNum w:abstractNumId="28"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6"/>
  </w:num>
  <w:num w:numId="3">
    <w:abstractNumId w:val="27"/>
  </w:num>
  <w:num w:numId="4">
    <w:abstractNumId w:val="10"/>
  </w:num>
  <w:num w:numId="5">
    <w:abstractNumId w:val="13"/>
  </w:num>
  <w:num w:numId="6">
    <w:abstractNumId w:val="5"/>
  </w:num>
  <w:num w:numId="7">
    <w:abstractNumId w:val="8"/>
  </w:num>
  <w:num w:numId="8">
    <w:abstractNumId w:val="25"/>
  </w:num>
  <w:num w:numId="9">
    <w:abstractNumId w:val="22"/>
  </w:num>
  <w:num w:numId="10">
    <w:abstractNumId w:val="2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1"/>
  </w:num>
  <w:num w:numId="14">
    <w:abstractNumId w:val="23"/>
  </w:num>
  <w:num w:numId="15">
    <w:abstractNumId w:val="6"/>
  </w:num>
  <w:num w:numId="16">
    <w:abstractNumId w:val="2"/>
  </w:num>
  <w:num w:numId="17">
    <w:abstractNumId w:val="18"/>
  </w:num>
  <w:num w:numId="18">
    <w:abstractNumId w:val="16"/>
  </w:num>
  <w:num w:numId="19">
    <w:abstractNumId w:val="4"/>
  </w:num>
  <w:num w:numId="20">
    <w:abstractNumId w:val="11"/>
  </w:num>
  <w:num w:numId="21">
    <w:abstractNumId w:val="12"/>
  </w:num>
  <w:num w:numId="22">
    <w:abstractNumId w:val="9"/>
  </w:num>
  <w:num w:numId="23">
    <w:abstractNumId w:val="28"/>
  </w:num>
  <w:num w:numId="24">
    <w:abstractNumId w:val="3"/>
  </w:num>
  <w:num w:numId="25">
    <w:abstractNumId w:val="20"/>
  </w:num>
  <w:num w:numId="26">
    <w:abstractNumId w:val="24"/>
  </w:num>
  <w:num w:numId="27">
    <w:abstractNumId w:val="14"/>
  </w:num>
  <w:num w:numId="28">
    <w:abstractNumId w:val="7"/>
  </w:num>
  <w:num w:numId="2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6E6"/>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A51"/>
    <w:rsid w:val="00090BB8"/>
    <w:rsid w:val="00091B10"/>
    <w:rsid w:val="00091B92"/>
    <w:rsid w:val="00092076"/>
    <w:rsid w:val="00092919"/>
    <w:rsid w:val="00092B20"/>
    <w:rsid w:val="00092DCA"/>
    <w:rsid w:val="00093273"/>
    <w:rsid w:val="000932F5"/>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0B5"/>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CB0"/>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15D"/>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0E4"/>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333"/>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27AC"/>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CA2"/>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6F76"/>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3AD3"/>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4B0A"/>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8A6"/>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F55440"/>
  <w15:chartTrackingRefBased/>
  <w15:docId w15:val="{37B86362-62E7-4908-BEF9-3553555A5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77212926">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7878896">
      <w:bodyDiv w:val="1"/>
      <w:marLeft w:val="0"/>
      <w:marRight w:val="0"/>
      <w:marTop w:val="0"/>
      <w:marBottom w:val="0"/>
      <w:divBdr>
        <w:top w:val="none" w:sz="0" w:space="0" w:color="auto"/>
        <w:left w:val="none" w:sz="0" w:space="0" w:color="auto"/>
        <w:bottom w:val="none" w:sz="0" w:space="0" w:color="auto"/>
        <w:right w:val="none" w:sz="0" w:space="0" w:color="auto"/>
      </w:divBdr>
      <w:divsChild>
        <w:div w:id="106776326">
          <w:marLeft w:val="547"/>
          <w:marRight w:val="0"/>
          <w:marTop w:val="154"/>
          <w:marBottom w:val="0"/>
          <w:divBdr>
            <w:top w:val="none" w:sz="0" w:space="0" w:color="auto"/>
            <w:left w:val="none" w:sz="0" w:space="0" w:color="auto"/>
            <w:bottom w:val="none" w:sz="0" w:space="0" w:color="auto"/>
            <w:right w:val="none" w:sz="0" w:space="0" w:color="auto"/>
          </w:divBdr>
        </w:div>
        <w:div w:id="671226148">
          <w:marLeft w:val="547"/>
          <w:marRight w:val="0"/>
          <w:marTop w:val="154"/>
          <w:marBottom w:val="0"/>
          <w:divBdr>
            <w:top w:val="none" w:sz="0" w:space="0" w:color="auto"/>
            <w:left w:val="none" w:sz="0" w:space="0" w:color="auto"/>
            <w:bottom w:val="none" w:sz="0" w:space="0" w:color="auto"/>
            <w:right w:val="none" w:sz="0" w:space="0" w:color="auto"/>
          </w:divBdr>
        </w:div>
        <w:div w:id="679700874">
          <w:marLeft w:val="547"/>
          <w:marRight w:val="0"/>
          <w:marTop w:val="154"/>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573573">
      <w:bodyDiv w:val="1"/>
      <w:marLeft w:val="0"/>
      <w:marRight w:val="0"/>
      <w:marTop w:val="0"/>
      <w:marBottom w:val="0"/>
      <w:divBdr>
        <w:top w:val="none" w:sz="0" w:space="0" w:color="auto"/>
        <w:left w:val="none" w:sz="0" w:space="0" w:color="auto"/>
        <w:bottom w:val="none" w:sz="0" w:space="0" w:color="auto"/>
        <w:right w:val="none" w:sz="0" w:space="0" w:color="auto"/>
      </w:divBdr>
      <w:divsChild>
        <w:div w:id="569123480">
          <w:marLeft w:val="547"/>
          <w:marRight w:val="0"/>
          <w:marTop w:val="154"/>
          <w:marBottom w:val="0"/>
          <w:divBdr>
            <w:top w:val="none" w:sz="0" w:space="0" w:color="auto"/>
            <w:left w:val="none" w:sz="0" w:space="0" w:color="auto"/>
            <w:bottom w:val="none" w:sz="0" w:space="0" w:color="auto"/>
            <w:right w:val="none" w:sz="0" w:space="0" w:color="auto"/>
          </w:divBdr>
        </w:div>
        <w:div w:id="867644268">
          <w:marLeft w:val="547"/>
          <w:marRight w:val="0"/>
          <w:marTop w:val="154"/>
          <w:marBottom w:val="0"/>
          <w:divBdr>
            <w:top w:val="none" w:sz="0" w:space="0" w:color="auto"/>
            <w:left w:val="none" w:sz="0" w:space="0" w:color="auto"/>
            <w:bottom w:val="none" w:sz="0" w:space="0" w:color="auto"/>
            <w:right w:val="none" w:sz="0" w:space="0" w:color="auto"/>
          </w:divBdr>
        </w:div>
        <w:div w:id="1582830134">
          <w:marLeft w:val="547"/>
          <w:marRight w:val="0"/>
          <w:marTop w:val="154"/>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5210314">
      <w:bodyDiv w:val="1"/>
      <w:marLeft w:val="0"/>
      <w:marRight w:val="0"/>
      <w:marTop w:val="0"/>
      <w:marBottom w:val="0"/>
      <w:divBdr>
        <w:top w:val="none" w:sz="0" w:space="0" w:color="auto"/>
        <w:left w:val="none" w:sz="0" w:space="0" w:color="auto"/>
        <w:bottom w:val="none" w:sz="0" w:space="0" w:color="auto"/>
        <w:right w:val="none" w:sz="0" w:space="0" w:color="auto"/>
      </w:divBdr>
      <w:divsChild>
        <w:div w:id="48501940">
          <w:marLeft w:val="1800"/>
          <w:marRight w:val="0"/>
          <w:marTop w:val="86"/>
          <w:marBottom w:val="0"/>
          <w:divBdr>
            <w:top w:val="none" w:sz="0" w:space="0" w:color="auto"/>
            <w:left w:val="none" w:sz="0" w:space="0" w:color="auto"/>
            <w:bottom w:val="none" w:sz="0" w:space="0" w:color="auto"/>
            <w:right w:val="none" w:sz="0" w:space="0" w:color="auto"/>
          </w:divBdr>
        </w:div>
        <w:div w:id="202401170">
          <w:marLeft w:val="1800"/>
          <w:marRight w:val="0"/>
          <w:marTop w:val="86"/>
          <w:marBottom w:val="0"/>
          <w:divBdr>
            <w:top w:val="none" w:sz="0" w:space="0" w:color="auto"/>
            <w:left w:val="none" w:sz="0" w:space="0" w:color="auto"/>
            <w:bottom w:val="none" w:sz="0" w:space="0" w:color="auto"/>
            <w:right w:val="none" w:sz="0" w:space="0" w:color="auto"/>
          </w:divBdr>
        </w:div>
        <w:div w:id="280889518">
          <w:marLeft w:val="547"/>
          <w:marRight w:val="0"/>
          <w:marTop w:val="115"/>
          <w:marBottom w:val="0"/>
          <w:divBdr>
            <w:top w:val="none" w:sz="0" w:space="0" w:color="auto"/>
            <w:left w:val="none" w:sz="0" w:space="0" w:color="auto"/>
            <w:bottom w:val="none" w:sz="0" w:space="0" w:color="auto"/>
            <w:right w:val="none" w:sz="0" w:space="0" w:color="auto"/>
          </w:divBdr>
        </w:div>
        <w:div w:id="450440382">
          <w:marLeft w:val="1166"/>
          <w:marRight w:val="0"/>
          <w:marTop w:val="115"/>
          <w:marBottom w:val="0"/>
          <w:divBdr>
            <w:top w:val="none" w:sz="0" w:space="0" w:color="auto"/>
            <w:left w:val="none" w:sz="0" w:space="0" w:color="auto"/>
            <w:bottom w:val="none" w:sz="0" w:space="0" w:color="auto"/>
            <w:right w:val="none" w:sz="0" w:space="0" w:color="auto"/>
          </w:divBdr>
        </w:div>
        <w:div w:id="1138259915">
          <w:marLeft w:val="1800"/>
          <w:marRight w:val="0"/>
          <w:marTop w:val="86"/>
          <w:marBottom w:val="0"/>
          <w:divBdr>
            <w:top w:val="none" w:sz="0" w:space="0" w:color="auto"/>
            <w:left w:val="none" w:sz="0" w:space="0" w:color="auto"/>
            <w:bottom w:val="none" w:sz="0" w:space="0" w:color="auto"/>
            <w:right w:val="none" w:sz="0" w:space="0" w:color="auto"/>
          </w:divBdr>
        </w:div>
        <w:div w:id="1410536147">
          <w:marLeft w:val="1800"/>
          <w:marRight w:val="0"/>
          <w:marTop w:val="86"/>
          <w:marBottom w:val="0"/>
          <w:divBdr>
            <w:top w:val="none" w:sz="0" w:space="0" w:color="auto"/>
            <w:left w:val="none" w:sz="0" w:space="0" w:color="auto"/>
            <w:bottom w:val="none" w:sz="0" w:space="0" w:color="auto"/>
            <w:right w:val="none" w:sz="0" w:space="0" w:color="auto"/>
          </w:divBdr>
        </w:div>
        <w:div w:id="1501850115">
          <w:marLeft w:val="1166"/>
          <w:marRight w:val="0"/>
          <w:marTop w:val="115"/>
          <w:marBottom w:val="0"/>
          <w:divBdr>
            <w:top w:val="none" w:sz="0" w:space="0" w:color="auto"/>
            <w:left w:val="none" w:sz="0" w:space="0" w:color="auto"/>
            <w:bottom w:val="none" w:sz="0" w:space="0" w:color="auto"/>
            <w:right w:val="none" w:sz="0" w:space="0" w:color="auto"/>
          </w:divBdr>
        </w:div>
        <w:div w:id="1537112156">
          <w:marLeft w:val="1166"/>
          <w:marRight w:val="0"/>
          <w:marTop w:val="115"/>
          <w:marBottom w:val="0"/>
          <w:divBdr>
            <w:top w:val="none" w:sz="0" w:space="0" w:color="auto"/>
            <w:left w:val="none" w:sz="0" w:space="0" w:color="auto"/>
            <w:bottom w:val="none" w:sz="0" w:space="0" w:color="auto"/>
            <w:right w:val="none" w:sz="0" w:space="0" w:color="auto"/>
          </w:divBdr>
        </w:div>
        <w:div w:id="1570920119">
          <w:marLeft w:val="1800"/>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42510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0729375">
      <w:bodyDiv w:val="1"/>
      <w:marLeft w:val="0"/>
      <w:marRight w:val="0"/>
      <w:marTop w:val="0"/>
      <w:marBottom w:val="0"/>
      <w:divBdr>
        <w:top w:val="none" w:sz="0" w:space="0" w:color="auto"/>
        <w:left w:val="none" w:sz="0" w:space="0" w:color="auto"/>
        <w:bottom w:val="none" w:sz="0" w:space="0" w:color="auto"/>
        <w:right w:val="none" w:sz="0" w:space="0" w:color="auto"/>
      </w:divBdr>
      <w:divsChild>
        <w:div w:id="32969693">
          <w:marLeft w:val="1166"/>
          <w:marRight w:val="0"/>
          <w:marTop w:val="115"/>
          <w:marBottom w:val="0"/>
          <w:divBdr>
            <w:top w:val="none" w:sz="0" w:space="0" w:color="auto"/>
            <w:left w:val="none" w:sz="0" w:space="0" w:color="auto"/>
            <w:bottom w:val="none" w:sz="0" w:space="0" w:color="auto"/>
            <w:right w:val="none" w:sz="0" w:space="0" w:color="auto"/>
          </w:divBdr>
        </w:div>
        <w:div w:id="253633808">
          <w:marLeft w:val="1800"/>
          <w:marRight w:val="0"/>
          <w:marTop w:val="86"/>
          <w:marBottom w:val="0"/>
          <w:divBdr>
            <w:top w:val="none" w:sz="0" w:space="0" w:color="auto"/>
            <w:left w:val="none" w:sz="0" w:space="0" w:color="auto"/>
            <w:bottom w:val="none" w:sz="0" w:space="0" w:color="auto"/>
            <w:right w:val="none" w:sz="0" w:space="0" w:color="auto"/>
          </w:divBdr>
        </w:div>
        <w:div w:id="257102566">
          <w:marLeft w:val="1166"/>
          <w:marRight w:val="0"/>
          <w:marTop w:val="115"/>
          <w:marBottom w:val="0"/>
          <w:divBdr>
            <w:top w:val="none" w:sz="0" w:space="0" w:color="auto"/>
            <w:left w:val="none" w:sz="0" w:space="0" w:color="auto"/>
            <w:bottom w:val="none" w:sz="0" w:space="0" w:color="auto"/>
            <w:right w:val="none" w:sz="0" w:space="0" w:color="auto"/>
          </w:divBdr>
        </w:div>
        <w:div w:id="270362472">
          <w:marLeft w:val="547"/>
          <w:marRight w:val="0"/>
          <w:marTop w:val="115"/>
          <w:marBottom w:val="0"/>
          <w:divBdr>
            <w:top w:val="none" w:sz="0" w:space="0" w:color="auto"/>
            <w:left w:val="none" w:sz="0" w:space="0" w:color="auto"/>
            <w:bottom w:val="none" w:sz="0" w:space="0" w:color="auto"/>
            <w:right w:val="none" w:sz="0" w:space="0" w:color="auto"/>
          </w:divBdr>
        </w:div>
        <w:div w:id="826751972">
          <w:marLeft w:val="1800"/>
          <w:marRight w:val="0"/>
          <w:marTop w:val="86"/>
          <w:marBottom w:val="0"/>
          <w:divBdr>
            <w:top w:val="none" w:sz="0" w:space="0" w:color="auto"/>
            <w:left w:val="none" w:sz="0" w:space="0" w:color="auto"/>
            <w:bottom w:val="none" w:sz="0" w:space="0" w:color="auto"/>
            <w:right w:val="none" w:sz="0" w:space="0" w:color="auto"/>
          </w:divBdr>
        </w:div>
        <w:div w:id="1064915889">
          <w:marLeft w:val="1800"/>
          <w:marRight w:val="0"/>
          <w:marTop w:val="86"/>
          <w:marBottom w:val="0"/>
          <w:divBdr>
            <w:top w:val="none" w:sz="0" w:space="0" w:color="auto"/>
            <w:left w:val="none" w:sz="0" w:space="0" w:color="auto"/>
            <w:bottom w:val="none" w:sz="0" w:space="0" w:color="auto"/>
            <w:right w:val="none" w:sz="0" w:space="0" w:color="auto"/>
          </w:divBdr>
        </w:div>
        <w:div w:id="1474637905">
          <w:marLeft w:val="1800"/>
          <w:marRight w:val="0"/>
          <w:marTop w:val="86"/>
          <w:marBottom w:val="0"/>
          <w:divBdr>
            <w:top w:val="none" w:sz="0" w:space="0" w:color="auto"/>
            <w:left w:val="none" w:sz="0" w:space="0" w:color="auto"/>
            <w:bottom w:val="none" w:sz="0" w:space="0" w:color="auto"/>
            <w:right w:val="none" w:sz="0" w:space="0" w:color="auto"/>
          </w:divBdr>
        </w:div>
        <w:div w:id="1648243682">
          <w:marLeft w:val="1800"/>
          <w:marRight w:val="0"/>
          <w:marTop w:val="86"/>
          <w:marBottom w:val="0"/>
          <w:divBdr>
            <w:top w:val="none" w:sz="0" w:space="0" w:color="auto"/>
            <w:left w:val="none" w:sz="0" w:space="0" w:color="auto"/>
            <w:bottom w:val="none" w:sz="0" w:space="0" w:color="auto"/>
            <w:right w:val="none" w:sz="0" w:space="0" w:color="auto"/>
          </w:divBdr>
        </w:div>
        <w:div w:id="1865247631">
          <w:marLeft w:val="1166"/>
          <w:marRight w:val="0"/>
          <w:marTop w:val="115"/>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3053359">
      <w:bodyDiv w:val="1"/>
      <w:marLeft w:val="0"/>
      <w:marRight w:val="0"/>
      <w:marTop w:val="0"/>
      <w:marBottom w:val="0"/>
      <w:divBdr>
        <w:top w:val="none" w:sz="0" w:space="0" w:color="auto"/>
        <w:left w:val="none" w:sz="0" w:space="0" w:color="auto"/>
        <w:bottom w:val="none" w:sz="0" w:space="0" w:color="auto"/>
        <w:right w:val="none" w:sz="0" w:space="0" w:color="auto"/>
      </w:divBdr>
      <w:divsChild>
        <w:div w:id="151803196">
          <w:marLeft w:val="547"/>
          <w:marRight w:val="0"/>
          <w:marTop w:val="115"/>
          <w:marBottom w:val="0"/>
          <w:divBdr>
            <w:top w:val="none" w:sz="0" w:space="0" w:color="auto"/>
            <w:left w:val="none" w:sz="0" w:space="0" w:color="auto"/>
            <w:bottom w:val="none" w:sz="0" w:space="0" w:color="auto"/>
            <w:right w:val="none" w:sz="0" w:space="0" w:color="auto"/>
          </w:divBdr>
        </w:div>
        <w:div w:id="439028818">
          <w:marLeft w:val="1166"/>
          <w:marRight w:val="0"/>
          <w:marTop w:val="96"/>
          <w:marBottom w:val="0"/>
          <w:divBdr>
            <w:top w:val="none" w:sz="0" w:space="0" w:color="auto"/>
            <w:left w:val="none" w:sz="0" w:space="0" w:color="auto"/>
            <w:bottom w:val="none" w:sz="0" w:space="0" w:color="auto"/>
            <w:right w:val="none" w:sz="0" w:space="0" w:color="auto"/>
          </w:divBdr>
        </w:div>
        <w:div w:id="1474173209">
          <w:marLeft w:val="1166"/>
          <w:marRight w:val="0"/>
          <w:marTop w:val="96"/>
          <w:marBottom w:val="0"/>
          <w:divBdr>
            <w:top w:val="none" w:sz="0" w:space="0" w:color="auto"/>
            <w:left w:val="none" w:sz="0" w:space="0" w:color="auto"/>
            <w:bottom w:val="none" w:sz="0" w:space="0" w:color="auto"/>
            <w:right w:val="none" w:sz="0" w:space="0" w:color="auto"/>
          </w:divBdr>
        </w:div>
        <w:div w:id="1641879358">
          <w:marLeft w:val="1166"/>
          <w:marRight w:val="0"/>
          <w:marTop w:val="96"/>
          <w:marBottom w:val="0"/>
          <w:divBdr>
            <w:top w:val="none" w:sz="0" w:space="0" w:color="auto"/>
            <w:left w:val="none" w:sz="0" w:space="0" w:color="auto"/>
            <w:bottom w:val="none" w:sz="0" w:space="0" w:color="auto"/>
            <w:right w:val="none" w:sz="0" w:space="0" w:color="auto"/>
          </w:divBdr>
        </w:div>
        <w:div w:id="1844322936">
          <w:marLeft w:val="547"/>
          <w:marRight w:val="0"/>
          <w:marTop w:val="115"/>
          <w:marBottom w:val="0"/>
          <w:divBdr>
            <w:top w:val="none" w:sz="0" w:space="0" w:color="auto"/>
            <w:left w:val="none" w:sz="0" w:space="0" w:color="auto"/>
            <w:bottom w:val="none" w:sz="0" w:space="0" w:color="auto"/>
            <w:right w:val="none" w:sz="0" w:space="0" w:color="auto"/>
          </w:divBdr>
        </w:div>
      </w:divsChild>
    </w:div>
    <w:div w:id="954754301">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26565227">
      <w:bodyDiv w:val="1"/>
      <w:marLeft w:val="0"/>
      <w:marRight w:val="0"/>
      <w:marTop w:val="0"/>
      <w:marBottom w:val="0"/>
      <w:divBdr>
        <w:top w:val="none" w:sz="0" w:space="0" w:color="auto"/>
        <w:left w:val="none" w:sz="0" w:space="0" w:color="auto"/>
        <w:bottom w:val="none" w:sz="0" w:space="0" w:color="auto"/>
        <w:right w:val="none" w:sz="0" w:space="0" w:color="auto"/>
      </w:divBdr>
      <w:divsChild>
        <w:div w:id="10182687">
          <w:marLeft w:val="2520"/>
          <w:marRight w:val="0"/>
          <w:marTop w:val="77"/>
          <w:marBottom w:val="0"/>
          <w:divBdr>
            <w:top w:val="none" w:sz="0" w:space="0" w:color="auto"/>
            <w:left w:val="none" w:sz="0" w:space="0" w:color="auto"/>
            <w:bottom w:val="none" w:sz="0" w:space="0" w:color="auto"/>
            <w:right w:val="none" w:sz="0" w:space="0" w:color="auto"/>
          </w:divBdr>
        </w:div>
        <w:div w:id="422536696">
          <w:marLeft w:val="1800"/>
          <w:marRight w:val="0"/>
          <w:marTop w:val="96"/>
          <w:marBottom w:val="0"/>
          <w:divBdr>
            <w:top w:val="none" w:sz="0" w:space="0" w:color="auto"/>
            <w:left w:val="none" w:sz="0" w:space="0" w:color="auto"/>
            <w:bottom w:val="none" w:sz="0" w:space="0" w:color="auto"/>
            <w:right w:val="none" w:sz="0" w:space="0" w:color="auto"/>
          </w:divBdr>
        </w:div>
        <w:div w:id="546841661">
          <w:marLeft w:val="2520"/>
          <w:marRight w:val="0"/>
          <w:marTop w:val="77"/>
          <w:marBottom w:val="0"/>
          <w:divBdr>
            <w:top w:val="none" w:sz="0" w:space="0" w:color="auto"/>
            <w:left w:val="none" w:sz="0" w:space="0" w:color="auto"/>
            <w:bottom w:val="none" w:sz="0" w:space="0" w:color="auto"/>
            <w:right w:val="none" w:sz="0" w:space="0" w:color="auto"/>
          </w:divBdr>
        </w:div>
        <w:div w:id="660889237">
          <w:marLeft w:val="547"/>
          <w:marRight w:val="0"/>
          <w:marTop w:val="115"/>
          <w:marBottom w:val="0"/>
          <w:divBdr>
            <w:top w:val="none" w:sz="0" w:space="0" w:color="auto"/>
            <w:left w:val="none" w:sz="0" w:space="0" w:color="auto"/>
            <w:bottom w:val="none" w:sz="0" w:space="0" w:color="auto"/>
            <w:right w:val="none" w:sz="0" w:space="0" w:color="auto"/>
          </w:divBdr>
        </w:div>
        <w:div w:id="695887190">
          <w:marLeft w:val="2520"/>
          <w:marRight w:val="0"/>
          <w:marTop w:val="77"/>
          <w:marBottom w:val="0"/>
          <w:divBdr>
            <w:top w:val="none" w:sz="0" w:space="0" w:color="auto"/>
            <w:left w:val="none" w:sz="0" w:space="0" w:color="auto"/>
            <w:bottom w:val="none" w:sz="0" w:space="0" w:color="auto"/>
            <w:right w:val="none" w:sz="0" w:space="0" w:color="auto"/>
          </w:divBdr>
        </w:div>
        <w:div w:id="796141520">
          <w:marLeft w:val="2520"/>
          <w:marRight w:val="0"/>
          <w:marTop w:val="77"/>
          <w:marBottom w:val="0"/>
          <w:divBdr>
            <w:top w:val="none" w:sz="0" w:space="0" w:color="auto"/>
            <w:left w:val="none" w:sz="0" w:space="0" w:color="auto"/>
            <w:bottom w:val="none" w:sz="0" w:space="0" w:color="auto"/>
            <w:right w:val="none" w:sz="0" w:space="0" w:color="auto"/>
          </w:divBdr>
        </w:div>
        <w:div w:id="1320035859">
          <w:marLeft w:val="2520"/>
          <w:marRight w:val="0"/>
          <w:marTop w:val="77"/>
          <w:marBottom w:val="0"/>
          <w:divBdr>
            <w:top w:val="none" w:sz="0" w:space="0" w:color="auto"/>
            <w:left w:val="none" w:sz="0" w:space="0" w:color="auto"/>
            <w:bottom w:val="none" w:sz="0" w:space="0" w:color="auto"/>
            <w:right w:val="none" w:sz="0" w:space="0" w:color="auto"/>
          </w:divBdr>
        </w:div>
        <w:div w:id="1386837625">
          <w:marLeft w:val="1800"/>
          <w:marRight w:val="0"/>
          <w:marTop w:val="96"/>
          <w:marBottom w:val="0"/>
          <w:divBdr>
            <w:top w:val="none" w:sz="0" w:space="0" w:color="auto"/>
            <w:left w:val="none" w:sz="0" w:space="0" w:color="auto"/>
            <w:bottom w:val="none" w:sz="0" w:space="0" w:color="auto"/>
            <w:right w:val="none" w:sz="0" w:space="0" w:color="auto"/>
          </w:divBdr>
        </w:div>
        <w:div w:id="1526168645">
          <w:marLeft w:val="1800"/>
          <w:marRight w:val="0"/>
          <w:marTop w:val="96"/>
          <w:marBottom w:val="0"/>
          <w:divBdr>
            <w:top w:val="none" w:sz="0" w:space="0" w:color="auto"/>
            <w:left w:val="none" w:sz="0" w:space="0" w:color="auto"/>
            <w:bottom w:val="none" w:sz="0" w:space="0" w:color="auto"/>
            <w:right w:val="none" w:sz="0" w:space="0" w:color="auto"/>
          </w:divBdr>
        </w:div>
        <w:div w:id="1634673378">
          <w:marLeft w:val="1166"/>
          <w:marRight w:val="0"/>
          <w:marTop w:val="115"/>
          <w:marBottom w:val="0"/>
          <w:divBdr>
            <w:top w:val="none" w:sz="0" w:space="0" w:color="auto"/>
            <w:left w:val="none" w:sz="0" w:space="0" w:color="auto"/>
            <w:bottom w:val="none" w:sz="0" w:space="0" w:color="auto"/>
            <w:right w:val="none" w:sz="0" w:space="0" w:color="auto"/>
          </w:divBdr>
        </w:div>
        <w:div w:id="1789884901">
          <w:marLeft w:val="2520"/>
          <w:marRight w:val="0"/>
          <w:marTop w:val="77"/>
          <w:marBottom w:val="0"/>
          <w:divBdr>
            <w:top w:val="none" w:sz="0" w:space="0" w:color="auto"/>
            <w:left w:val="none" w:sz="0" w:space="0" w:color="auto"/>
            <w:bottom w:val="none" w:sz="0" w:space="0" w:color="auto"/>
            <w:right w:val="none" w:sz="0" w:space="0" w:color="auto"/>
          </w:divBdr>
        </w:div>
        <w:div w:id="2094624878">
          <w:marLeft w:val="2520"/>
          <w:marRight w:val="0"/>
          <w:marTop w:val="77"/>
          <w:marBottom w:val="0"/>
          <w:divBdr>
            <w:top w:val="none" w:sz="0" w:space="0" w:color="auto"/>
            <w:left w:val="none" w:sz="0" w:space="0" w:color="auto"/>
            <w:bottom w:val="none" w:sz="0" w:space="0" w:color="auto"/>
            <w:right w:val="none" w:sz="0" w:space="0" w:color="auto"/>
          </w:divBdr>
        </w:div>
      </w:divsChild>
    </w:div>
    <w:div w:id="1032219861">
      <w:bodyDiv w:val="1"/>
      <w:marLeft w:val="0"/>
      <w:marRight w:val="0"/>
      <w:marTop w:val="0"/>
      <w:marBottom w:val="0"/>
      <w:divBdr>
        <w:top w:val="none" w:sz="0" w:space="0" w:color="auto"/>
        <w:left w:val="none" w:sz="0" w:space="0" w:color="auto"/>
        <w:bottom w:val="none" w:sz="0" w:space="0" w:color="auto"/>
        <w:right w:val="none" w:sz="0" w:space="0" w:color="auto"/>
      </w:divBdr>
      <w:divsChild>
        <w:div w:id="112016428">
          <w:marLeft w:val="2520"/>
          <w:marRight w:val="0"/>
          <w:marTop w:val="96"/>
          <w:marBottom w:val="0"/>
          <w:divBdr>
            <w:top w:val="none" w:sz="0" w:space="0" w:color="auto"/>
            <w:left w:val="none" w:sz="0" w:space="0" w:color="auto"/>
            <w:bottom w:val="none" w:sz="0" w:space="0" w:color="auto"/>
            <w:right w:val="none" w:sz="0" w:space="0" w:color="auto"/>
          </w:divBdr>
        </w:div>
        <w:div w:id="279654340">
          <w:marLeft w:val="1166"/>
          <w:marRight w:val="0"/>
          <w:marTop w:val="115"/>
          <w:marBottom w:val="0"/>
          <w:divBdr>
            <w:top w:val="none" w:sz="0" w:space="0" w:color="auto"/>
            <w:left w:val="none" w:sz="0" w:space="0" w:color="auto"/>
            <w:bottom w:val="none" w:sz="0" w:space="0" w:color="auto"/>
            <w:right w:val="none" w:sz="0" w:space="0" w:color="auto"/>
          </w:divBdr>
        </w:div>
        <w:div w:id="362025075">
          <w:marLeft w:val="547"/>
          <w:marRight w:val="0"/>
          <w:marTop w:val="115"/>
          <w:marBottom w:val="0"/>
          <w:divBdr>
            <w:top w:val="none" w:sz="0" w:space="0" w:color="auto"/>
            <w:left w:val="none" w:sz="0" w:space="0" w:color="auto"/>
            <w:bottom w:val="none" w:sz="0" w:space="0" w:color="auto"/>
            <w:right w:val="none" w:sz="0" w:space="0" w:color="auto"/>
          </w:divBdr>
        </w:div>
        <w:div w:id="1450930037">
          <w:marLeft w:val="1800"/>
          <w:marRight w:val="0"/>
          <w:marTop w:val="115"/>
          <w:marBottom w:val="0"/>
          <w:divBdr>
            <w:top w:val="none" w:sz="0" w:space="0" w:color="auto"/>
            <w:left w:val="none" w:sz="0" w:space="0" w:color="auto"/>
            <w:bottom w:val="none" w:sz="0" w:space="0" w:color="auto"/>
            <w:right w:val="none" w:sz="0" w:space="0" w:color="auto"/>
          </w:divBdr>
        </w:div>
        <w:div w:id="1504128145">
          <w:marLeft w:val="1800"/>
          <w:marRight w:val="0"/>
          <w:marTop w:val="115"/>
          <w:marBottom w:val="0"/>
          <w:divBdr>
            <w:top w:val="none" w:sz="0" w:space="0" w:color="auto"/>
            <w:left w:val="none" w:sz="0" w:space="0" w:color="auto"/>
            <w:bottom w:val="none" w:sz="0" w:space="0" w:color="auto"/>
            <w:right w:val="none" w:sz="0" w:space="0" w:color="auto"/>
          </w:divBdr>
        </w:div>
        <w:div w:id="1520199926">
          <w:marLeft w:val="2520"/>
          <w:marRight w:val="0"/>
          <w:marTop w:val="96"/>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86602206">
      <w:bodyDiv w:val="1"/>
      <w:marLeft w:val="0"/>
      <w:marRight w:val="0"/>
      <w:marTop w:val="0"/>
      <w:marBottom w:val="0"/>
      <w:divBdr>
        <w:top w:val="none" w:sz="0" w:space="0" w:color="auto"/>
        <w:left w:val="none" w:sz="0" w:space="0" w:color="auto"/>
        <w:bottom w:val="none" w:sz="0" w:space="0" w:color="auto"/>
        <w:right w:val="none" w:sz="0" w:space="0" w:color="auto"/>
      </w:divBdr>
      <w:divsChild>
        <w:div w:id="626593588">
          <w:marLeft w:val="2520"/>
          <w:marRight w:val="0"/>
          <w:marTop w:val="77"/>
          <w:marBottom w:val="0"/>
          <w:divBdr>
            <w:top w:val="none" w:sz="0" w:space="0" w:color="auto"/>
            <w:left w:val="none" w:sz="0" w:space="0" w:color="auto"/>
            <w:bottom w:val="none" w:sz="0" w:space="0" w:color="auto"/>
            <w:right w:val="none" w:sz="0" w:space="0" w:color="auto"/>
          </w:divBdr>
        </w:div>
        <w:div w:id="740713077">
          <w:marLeft w:val="2520"/>
          <w:marRight w:val="0"/>
          <w:marTop w:val="77"/>
          <w:marBottom w:val="0"/>
          <w:divBdr>
            <w:top w:val="none" w:sz="0" w:space="0" w:color="auto"/>
            <w:left w:val="none" w:sz="0" w:space="0" w:color="auto"/>
            <w:bottom w:val="none" w:sz="0" w:space="0" w:color="auto"/>
            <w:right w:val="none" w:sz="0" w:space="0" w:color="auto"/>
          </w:divBdr>
        </w:div>
        <w:div w:id="763696378">
          <w:marLeft w:val="547"/>
          <w:marRight w:val="0"/>
          <w:marTop w:val="115"/>
          <w:marBottom w:val="0"/>
          <w:divBdr>
            <w:top w:val="none" w:sz="0" w:space="0" w:color="auto"/>
            <w:left w:val="none" w:sz="0" w:space="0" w:color="auto"/>
            <w:bottom w:val="none" w:sz="0" w:space="0" w:color="auto"/>
            <w:right w:val="none" w:sz="0" w:space="0" w:color="auto"/>
          </w:divBdr>
        </w:div>
        <w:div w:id="910238827">
          <w:marLeft w:val="1800"/>
          <w:marRight w:val="0"/>
          <w:marTop w:val="96"/>
          <w:marBottom w:val="0"/>
          <w:divBdr>
            <w:top w:val="none" w:sz="0" w:space="0" w:color="auto"/>
            <w:left w:val="none" w:sz="0" w:space="0" w:color="auto"/>
            <w:bottom w:val="none" w:sz="0" w:space="0" w:color="auto"/>
            <w:right w:val="none" w:sz="0" w:space="0" w:color="auto"/>
          </w:divBdr>
        </w:div>
        <w:div w:id="916324886">
          <w:marLeft w:val="2520"/>
          <w:marRight w:val="0"/>
          <w:marTop w:val="77"/>
          <w:marBottom w:val="0"/>
          <w:divBdr>
            <w:top w:val="none" w:sz="0" w:space="0" w:color="auto"/>
            <w:left w:val="none" w:sz="0" w:space="0" w:color="auto"/>
            <w:bottom w:val="none" w:sz="0" w:space="0" w:color="auto"/>
            <w:right w:val="none" w:sz="0" w:space="0" w:color="auto"/>
          </w:divBdr>
        </w:div>
        <w:div w:id="1163814206">
          <w:marLeft w:val="1800"/>
          <w:marRight w:val="0"/>
          <w:marTop w:val="96"/>
          <w:marBottom w:val="0"/>
          <w:divBdr>
            <w:top w:val="none" w:sz="0" w:space="0" w:color="auto"/>
            <w:left w:val="none" w:sz="0" w:space="0" w:color="auto"/>
            <w:bottom w:val="none" w:sz="0" w:space="0" w:color="auto"/>
            <w:right w:val="none" w:sz="0" w:space="0" w:color="auto"/>
          </w:divBdr>
        </w:div>
        <w:div w:id="1554805442">
          <w:marLeft w:val="2520"/>
          <w:marRight w:val="0"/>
          <w:marTop w:val="77"/>
          <w:marBottom w:val="0"/>
          <w:divBdr>
            <w:top w:val="none" w:sz="0" w:space="0" w:color="auto"/>
            <w:left w:val="none" w:sz="0" w:space="0" w:color="auto"/>
            <w:bottom w:val="none" w:sz="0" w:space="0" w:color="auto"/>
            <w:right w:val="none" w:sz="0" w:space="0" w:color="auto"/>
          </w:divBdr>
        </w:div>
        <w:div w:id="1668677762">
          <w:marLeft w:val="2520"/>
          <w:marRight w:val="0"/>
          <w:marTop w:val="77"/>
          <w:marBottom w:val="0"/>
          <w:divBdr>
            <w:top w:val="none" w:sz="0" w:space="0" w:color="auto"/>
            <w:left w:val="none" w:sz="0" w:space="0" w:color="auto"/>
            <w:bottom w:val="none" w:sz="0" w:space="0" w:color="auto"/>
            <w:right w:val="none" w:sz="0" w:space="0" w:color="auto"/>
          </w:divBdr>
        </w:div>
        <w:div w:id="1682930608">
          <w:marLeft w:val="1800"/>
          <w:marRight w:val="0"/>
          <w:marTop w:val="96"/>
          <w:marBottom w:val="0"/>
          <w:divBdr>
            <w:top w:val="none" w:sz="0" w:space="0" w:color="auto"/>
            <w:left w:val="none" w:sz="0" w:space="0" w:color="auto"/>
            <w:bottom w:val="none" w:sz="0" w:space="0" w:color="auto"/>
            <w:right w:val="none" w:sz="0" w:space="0" w:color="auto"/>
          </w:divBdr>
        </w:div>
        <w:div w:id="1715810975">
          <w:marLeft w:val="2520"/>
          <w:marRight w:val="0"/>
          <w:marTop w:val="77"/>
          <w:marBottom w:val="0"/>
          <w:divBdr>
            <w:top w:val="none" w:sz="0" w:space="0" w:color="auto"/>
            <w:left w:val="none" w:sz="0" w:space="0" w:color="auto"/>
            <w:bottom w:val="none" w:sz="0" w:space="0" w:color="auto"/>
            <w:right w:val="none" w:sz="0" w:space="0" w:color="auto"/>
          </w:divBdr>
        </w:div>
        <w:div w:id="1904028440">
          <w:marLeft w:val="2520"/>
          <w:marRight w:val="0"/>
          <w:marTop w:val="77"/>
          <w:marBottom w:val="0"/>
          <w:divBdr>
            <w:top w:val="none" w:sz="0" w:space="0" w:color="auto"/>
            <w:left w:val="none" w:sz="0" w:space="0" w:color="auto"/>
            <w:bottom w:val="none" w:sz="0" w:space="0" w:color="auto"/>
            <w:right w:val="none" w:sz="0" w:space="0" w:color="auto"/>
          </w:divBdr>
        </w:div>
        <w:div w:id="1967394876">
          <w:marLeft w:val="2520"/>
          <w:marRight w:val="0"/>
          <w:marTop w:val="77"/>
          <w:marBottom w:val="0"/>
          <w:divBdr>
            <w:top w:val="none" w:sz="0" w:space="0" w:color="auto"/>
            <w:left w:val="none" w:sz="0" w:space="0" w:color="auto"/>
            <w:bottom w:val="none" w:sz="0" w:space="0" w:color="auto"/>
            <w:right w:val="none" w:sz="0" w:space="0" w:color="auto"/>
          </w:divBdr>
        </w:div>
      </w:divsChild>
    </w:div>
    <w:div w:id="11891005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1267A-E97B-434D-B72E-AE1677A1F3A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C0268041-76BF-4738-B4C6-292C7B041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Christopher Callender</cp:lastModifiedBy>
  <cp:revision>3</cp:revision>
  <cp:lastPrinted>2009-04-22T13:01:00Z</cp:lastPrinted>
  <dcterms:created xsi:type="dcterms:W3CDTF">2018-11-01T10:24:00Z</dcterms:created>
  <dcterms:modified xsi:type="dcterms:W3CDTF">2018-11-02T16:38:00Z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